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9"/>
        <w:tabs>
          <w:tab w:val="right" w:pos="9639"/>
        </w:tabs>
        <w:spacing w:after="0"/>
        <w:rPr>
          <w:rFonts w:hint="default" w:eastAsia="宋体"/>
          <w:b/>
          <w:sz w:val="24"/>
          <w:lang w:val="en-US" w:eastAsia="zh-CN"/>
        </w:rPr>
      </w:pPr>
      <w:r>
        <w:rPr>
          <w:b/>
          <w:sz w:val="24"/>
        </w:rPr>
        <w:t>3GPP TSG RAN Meeting #94e</w:t>
      </w:r>
      <w:r>
        <w:rPr>
          <w:b/>
          <w:sz w:val="24"/>
        </w:rPr>
        <w:tab/>
      </w:r>
      <w:r>
        <w:rPr>
          <w:b/>
          <w:sz w:val="24"/>
        </w:rPr>
        <w:t>RP-21</w:t>
      </w:r>
      <w:r>
        <w:rPr>
          <w:rFonts w:hint="eastAsia"/>
          <w:b/>
          <w:sz w:val="24"/>
          <w:lang w:val="en-US" w:eastAsia="zh-CN"/>
        </w:rPr>
        <w:t>2719</w:t>
      </w:r>
    </w:p>
    <w:p>
      <w:pPr>
        <w:pStyle w:val="69"/>
        <w:tabs>
          <w:tab w:val="right" w:pos="9639"/>
        </w:tabs>
        <w:spacing w:after="0"/>
        <w:rPr>
          <w:rFonts w:eastAsia="Batang" w:cs="Arial"/>
          <w:sz w:val="18"/>
          <w:szCs w:val="18"/>
          <w:lang w:eastAsia="zh-CN"/>
        </w:rPr>
      </w:pPr>
      <w:r>
        <w:rPr>
          <w:b/>
          <w:sz w:val="24"/>
        </w:rPr>
        <w:t>Electronic Meeting, Dec. 6 - 17, 2021</w:t>
      </w:r>
      <w:r>
        <w:rPr>
          <w:b/>
          <w:sz w:val="24"/>
        </w:rPr>
        <w:tab/>
      </w:r>
    </w:p>
    <w:p>
      <w:pPr>
        <w:pStyle w:val="69"/>
        <w:tabs>
          <w:tab w:val="right" w:pos="9639"/>
        </w:tabs>
        <w:spacing w:after="0"/>
        <w:rPr>
          <w:rFonts w:eastAsia="Batang" w:cs="Arial"/>
          <w:sz w:val="18"/>
          <w:szCs w:val="18"/>
          <w:lang w:eastAsia="zh-CN"/>
        </w:rPr>
      </w:pPr>
    </w:p>
    <w:p>
      <w:pPr>
        <w:tabs>
          <w:tab w:val="left" w:pos="2127"/>
        </w:tabs>
        <w:overflowPunct/>
        <w:autoSpaceDE/>
        <w:autoSpaceDN/>
        <w:adjustRightInd/>
        <w:spacing w:after="0"/>
        <w:ind w:left="2126" w:hanging="2126"/>
        <w:jc w:val="both"/>
        <w:textAlignment w:val="auto"/>
        <w:outlineLvl w:val="0"/>
        <w:rPr>
          <w:rFonts w:hint="default" w:ascii="Arial" w:hAnsi="Arial"/>
          <w:b/>
          <w:lang w:val="en-US" w:eastAsia="zh-CN"/>
        </w:rPr>
      </w:pPr>
      <w:r>
        <w:rPr>
          <w:rFonts w:ascii="Arial" w:hAnsi="Arial" w:eastAsia="Batang"/>
          <w:b/>
          <w:lang w:val="en-US" w:eastAsia="zh-CN"/>
        </w:rPr>
        <w:t>Source:</w:t>
      </w:r>
      <w:r>
        <w:rPr>
          <w:rFonts w:ascii="Arial" w:hAnsi="Arial" w:eastAsia="Batang"/>
          <w:b/>
          <w:lang w:val="en-US" w:eastAsia="zh-CN"/>
        </w:rPr>
        <w:tab/>
      </w:r>
      <w:r>
        <w:rPr>
          <w:rFonts w:hint="eastAsia" w:ascii="Arial" w:hAnsi="Arial" w:eastAsia="Batang"/>
          <w:b/>
          <w:lang w:val="en-US" w:eastAsia="zh-CN"/>
        </w:rPr>
        <w:t>RAN3 Chair (ZTE)</w:t>
      </w:r>
    </w:p>
    <w:p>
      <w:pPr>
        <w:tabs>
          <w:tab w:val="left" w:pos="2127"/>
        </w:tabs>
        <w:overflowPunct/>
        <w:autoSpaceDE/>
        <w:autoSpaceDN/>
        <w:adjustRightInd/>
        <w:spacing w:after="0"/>
        <w:ind w:left="2126" w:hanging="2126"/>
        <w:jc w:val="both"/>
        <w:textAlignment w:val="auto"/>
        <w:outlineLvl w:val="0"/>
        <w:rPr>
          <w:rFonts w:hint="default" w:ascii="Arial" w:hAnsi="Arial"/>
          <w:b/>
          <w:lang w:val="en-US" w:eastAsia="zh-CN"/>
        </w:rPr>
      </w:pPr>
      <w:r>
        <w:rPr>
          <w:rFonts w:ascii="Arial" w:hAnsi="Arial" w:eastAsia="Batang" w:cs="Arial"/>
          <w:b/>
          <w:lang w:eastAsia="zh-CN"/>
        </w:rPr>
        <w:t>Title:</w:t>
      </w:r>
      <w:r>
        <w:rPr>
          <w:rFonts w:ascii="Arial" w:hAnsi="Arial" w:eastAsia="Batang" w:cs="Arial"/>
          <w:b/>
          <w:lang w:eastAsia="zh-CN"/>
        </w:rPr>
        <w:tab/>
      </w:r>
      <w:r>
        <w:rPr>
          <w:rFonts w:ascii="Arial" w:hAnsi="Arial" w:eastAsia="Batang" w:cs="Arial"/>
          <w:b/>
          <w:lang w:eastAsia="zh-CN"/>
        </w:rPr>
        <w:t>New WID</w:t>
      </w:r>
      <w:r>
        <w:rPr>
          <w:rFonts w:ascii="Arial" w:hAnsi="Arial"/>
          <w:b/>
          <w:lang w:val="en-US" w:eastAsia="zh-CN"/>
        </w:rPr>
        <w:t xml:space="preserve"> </w:t>
      </w:r>
      <w:r>
        <w:rPr>
          <w:rFonts w:hint="eastAsia" w:ascii="Arial" w:hAnsi="Arial"/>
          <w:b/>
          <w:lang w:val="en-US" w:eastAsia="zh-CN"/>
        </w:rPr>
        <w:t>draft on</w:t>
      </w:r>
      <w:r>
        <w:rPr>
          <w:rFonts w:ascii="Arial" w:hAnsi="Arial"/>
          <w:b/>
          <w:lang w:val="en-US" w:eastAsia="zh-CN"/>
        </w:rPr>
        <w:t xml:space="preserve"> </w:t>
      </w:r>
      <w:r>
        <w:rPr>
          <w:rFonts w:hint="eastAsia" w:ascii="Arial" w:hAnsi="Arial"/>
          <w:b/>
          <w:lang w:val="en-US" w:eastAsia="zh-CN"/>
        </w:rPr>
        <w:t>AI/ML for NG-RAN</w:t>
      </w:r>
      <w:bookmarkStart w:id="0" w:name="_GoBack"/>
      <w:bookmarkEnd w:id="0"/>
    </w:p>
    <w:p>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Pr>
          <w:rFonts w:ascii="Arial" w:hAnsi="Arial" w:eastAsia="Batang" w:cs="Arial"/>
          <w:b/>
          <w:lang w:val="en-US" w:eastAsia="zh-CN"/>
        </w:rPr>
        <w:t>Document for:</w:t>
      </w:r>
      <w:r>
        <w:rPr>
          <w:rFonts w:ascii="Arial" w:hAnsi="Arial" w:eastAsia="Batang" w:cs="Arial"/>
          <w:b/>
          <w:lang w:val="en-US" w:eastAsia="zh-CN"/>
        </w:rPr>
        <w:tab/>
      </w:r>
      <w:r>
        <w:rPr>
          <w:rFonts w:ascii="Arial" w:hAnsi="Arial" w:eastAsia="Batang" w:cs="Arial"/>
          <w:b/>
          <w:lang w:val="en-US" w:eastAsia="zh-CN"/>
        </w:rPr>
        <w:t>Approval</w:t>
      </w:r>
    </w:p>
    <w:p>
      <w:pPr>
        <w:pBdr>
          <w:bottom w:val="single" w:color="auto" w:sz="4" w:space="1"/>
        </w:pBdr>
        <w:tabs>
          <w:tab w:val="left" w:pos="2127"/>
        </w:tabs>
        <w:overflowPunct/>
        <w:autoSpaceDE/>
        <w:autoSpaceDN/>
        <w:adjustRightInd/>
        <w:spacing w:after="0"/>
        <w:ind w:left="2126" w:hanging="2126"/>
        <w:jc w:val="both"/>
        <w:textAlignment w:val="auto"/>
        <w:rPr>
          <w:rFonts w:ascii="Arial" w:hAnsi="Arial"/>
          <w:b/>
          <w:lang w:eastAsia="zh-CN"/>
        </w:rPr>
      </w:pPr>
      <w:r>
        <w:rPr>
          <w:rFonts w:ascii="Arial" w:hAnsi="Arial" w:eastAsia="Batang"/>
          <w:b/>
          <w:lang w:eastAsia="zh-CN"/>
        </w:rPr>
        <w:t>Agenda Item:</w:t>
      </w:r>
      <w:r>
        <w:rPr>
          <w:rFonts w:ascii="Arial" w:hAnsi="Arial" w:eastAsia="Batang"/>
          <w:b/>
          <w:lang w:eastAsia="zh-CN"/>
        </w:rPr>
        <w:tab/>
      </w:r>
      <w:r>
        <w:rPr>
          <w:rFonts w:ascii="Arial" w:hAnsi="Arial"/>
          <w:b/>
          <w:lang w:eastAsia="zh-CN"/>
        </w:rPr>
        <w:t>xxxx</w:t>
      </w:r>
    </w:p>
    <w:p>
      <w:pPr>
        <w:spacing w:before="120"/>
        <w:jc w:val="center"/>
        <w:rPr>
          <w:rFonts w:ascii="Arial" w:hAnsi="Arial" w:cs="Arial"/>
          <w:sz w:val="36"/>
          <w:szCs w:val="36"/>
        </w:rPr>
      </w:pPr>
      <w:r>
        <w:rPr>
          <w:rFonts w:ascii="Arial" w:hAnsi="Arial" w:cs="Arial"/>
          <w:sz w:val="36"/>
          <w:szCs w:val="36"/>
        </w:rPr>
        <w:t>3GPP™ Work Item Description</w:t>
      </w:r>
    </w:p>
    <w:p>
      <w:pPr>
        <w:jc w:val="center"/>
        <w:rPr>
          <w:rFonts w:cs="Arial"/>
          <w:lang w:val="en-US" w:eastAsia="zh-CN"/>
        </w:rPr>
      </w:pPr>
      <w:r>
        <w:t xml:space="preserve">For guidance, see </w:t>
      </w:r>
      <w:r>
        <w:fldChar w:fldCharType="begin"/>
      </w:r>
      <w:r>
        <w:instrText xml:space="preserve"> HYPERLINK "http://www.3gpp.org/About/WP.htm" </w:instrText>
      </w:r>
      <w:r>
        <w:fldChar w:fldCharType="separate"/>
      </w:r>
      <w:r>
        <w:rPr>
          <w:rStyle w:val="52"/>
        </w:rPr>
        <w:t>3GPP Working Procedures</w:t>
      </w:r>
      <w:r>
        <w:rPr>
          <w:rStyle w:val="52"/>
        </w:rPr>
        <w:fldChar w:fldCharType="end"/>
      </w:r>
      <w:r>
        <w:t xml:space="preserve">, article 39; and </w:t>
      </w:r>
      <w:r>
        <w:fldChar w:fldCharType="begin"/>
      </w:r>
      <w:r>
        <w:instrText xml:space="preserve"> HYPERLINK "http://www.3gpp.org/ftp/Specs/html-info/21900.htm" </w:instrText>
      </w:r>
      <w:r>
        <w:fldChar w:fldCharType="separate"/>
      </w:r>
      <w:r>
        <w:rPr>
          <w:rStyle w:val="52"/>
        </w:rPr>
        <w:t>3GPP TR 21.900</w:t>
      </w:r>
      <w:r>
        <w:rPr>
          <w:rStyle w:val="52"/>
        </w:rPr>
        <w:fldChar w:fldCharType="end"/>
      </w:r>
      <w:r>
        <w:t>.</w:t>
      </w:r>
      <w:r>
        <w:br w:type="textWrapping"/>
      </w:r>
      <w:r>
        <w:rPr>
          <w:rFonts w:cs="Arial"/>
          <w:lang w:val="en-US" w:eastAsia="zh-CN"/>
        </w:rPr>
        <w:t xml:space="preserve">Comprehensive instructions can be found at </w:t>
      </w:r>
      <w:r>
        <w:fldChar w:fldCharType="begin"/>
      </w:r>
      <w:r>
        <w:instrText xml:space="preserve"> HYPERLINK "http://www.3gpp.org/Work-Items" </w:instrText>
      </w:r>
      <w:r>
        <w:fldChar w:fldCharType="separate"/>
      </w:r>
      <w:r>
        <w:rPr>
          <w:rStyle w:val="52"/>
          <w:rFonts w:cs="Arial"/>
          <w:lang w:val="en-US" w:eastAsia="zh-CN"/>
        </w:rPr>
        <w:t>http://www.3gpp.org/Work-Items</w:t>
      </w:r>
      <w:r>
        <w:rPr>
          <w:rStyle w:val="52"/>
          <w:rFonts w:cs="Arial"/>
          <w:lang w:val="en-US" w:eastAsia="zh-CN"/>
        </w:rPr>
        <w:fldChar w:fldCharType="end"/>
      </w:r>
    </w:p>
    <w:p>
      <w:pPr>
        <w:pStyle w:val="2"/>
        <w:rPr>
          <w:lang w:eastAsia="zh-CN"/>
        </w:rPr>
      </w:pPr>
      <w:r>
        <w:t xml:space="preserve">Title: </w:t>
      </w:r>
      <w:r>
        <w:tab/>
      </w:r>
      <w:r>
        <w:rPr>
          <w:b/>
          <w:lang w:val="en-US"/>
        </w:rPr>
        <w:t xml:space="preserve">New WID </w:t>
      </w:r>
      <w:r>
        <w:rPr>
          <w:rFonts w:hint="eastAsia"/>
          <w:b/>
          <w:lang w:val="en-US"/>
        </w:rPr>
        <w:t>on</w:t>
      </w:r>
      <w:r>
        <w:rPr>
          <w:b/>
          <w:lang w:val="en-US"/>
        </w:rPr>
        <w:t xml:space="preserve"> </w:t>
      </w:r>
      <w:r>
        <w:rPr>
          <w:rFonts w:hint="eastAsia"/>
          <w:b/>
          <w:lang w:val="en-US" w:eastAsia="zh-CN"/>
        </w:rPr>
        <w:t>AI/ML for NG-RAN</w:t>
      </w:r>
      <w:r>
        <w:rPr>
          <w:b/>
          <w:lang w:val="en-US"/>
        </w:rPr>
        <w:t xml:space="preserve"> </w:t>
      </w:r>
    </w:p>
    <w:p>
      <w:pPr>
        <w:pStyle w:val="3"/>
        <w:tabs>
          <w:tab w:val="left" w:pos="2552"/>
        </w:tabs>
        <w:rPr>
          <w:lang w:eastAsia="zh-CN"/>
        </w:rPr>
      </w:pPr>
      <w:r>
        <w:t xml:space="preserve">Acronym: </w:t>
      </w:r>
      <w:r>
        <w:rPr>
          <w:rFonts w:cs="Arial"/>
        </w:rPr>
        <w:t>xxxx</w:t>
      </w:r>
    </w:p>
    <w:p>
      <w:pPr>
        <w:pStyle w:val="3"/>
        <w:rPr>
          <w:lang w:eastAsia="zh-CN"/>
        </w:rPr>
      </w:pPr>
      <w:r>
        <w:t>Unique identifier: xxxx</w:t>
      </w:r>
    </w:p>
    <w:p>
      <w:pPr>
        <w:pStyle w:val="67"/>
        <w:spacing w:after="0"/>
        <w:rPr>
          <w:color w:val="0000FF"/>
        </w:rPr>
      </w:pPr>
      <w:r>
        <w:rPr>
          <w:color w:val="0000FF"/>
        </w:rPr>
        <w:t>NOTE:</w:t>
      </w:r>
      <w:r>
        <w:rPr>
          <w:color w:val="0000FF"/>
        </w:rPr>
        <w:tab/>
      </w:r>
      <w:r>
        <w:rPr>
          <w:color w:val="0000FF"/>
        </w:rPr>
        <w:t>For new WIs/SIs leave the Unique identifier empty but you may make a proposal for an Acronym.</w:t>
      </w:r>
    </w:p>
    <w:p>
      <w:pPr>
        <w:pStyle w:val="67"/>
        <w:spacing w:after="0"/>
        <w:rPr>
          <w:color w:val="0000FF"/>
        </w:rPr>
      </w:pPr>
      <w:r>
        <w:rPr>
          <w:color w:val="0000FF"/>
        </w:rPr>
        <w:tab/>
      </w:r>
      <w:r>
        <w:rPr>
          <w:color w:val="0000FF"/>
        </w:rPr>
        <w:t xml:space="preserve">If this is a RAN WID including Core </w:t>
      </w:r>
      <w:r>
        <w:rPr>
          <w:color w:val="0000FF"/>
          <w:u w:val="single"/>
        </w:rPr>
        <w:t>and</w:t>
      </w:r>
      <w:r>
        <w:rPr>
          <w:color w:val="0000FF"/>
        </w:rPr>
        <w:t xml:space="preserve"> Perf. part, then Title, Acronym and Unique identifier refer to the feature WI. </w:t>
      </w:r>
    </w:p>
    <w:p>
      <w:pPr>
        <w:pStyle w:val="67"/>
        <w:spacing w:after="0"/>
        <w:rPr>
          <w:color w:val="0000FF"/>
        </w:rPr>
      </w:pPr>
      <w:r>
        <w:rPr>
          <w:color w:val="0000FF"/>
        </w:rPr>
        <w:tab/>
      </w:r>
      <w:r>
        <w:rPr>
          <w:color w:val="0000FF"/>
        </w:rPr>
        <w:t>Please tick (X) the applicable box(es) in the table below:</w:t>
      </w:r>
    </w:p>
    <w:p>
      <w:pPr>
        <w:pStyle w:val="67"/>
        <w:spacing w:after="0"/>
        <w:rPr>
          <w:color w:val="0000FF"/>
        </w:rPr>
      </w:pPr>
      <w:r>
        <w:rPr>
          <w:color w:val="0000FF"/>
        </w:rPr>
        <w:tab/>
      </w:r>
      <w:r>
        <w:rPr>
          <w:color w:val="0000FF"/>
        </w:rPr>
        <w:t>Either:</w:t>
      </w:r>
    </w:p>
    <w:tbl>
      <w:tblPr>
        <w:tblStyle w:val="4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8"/>
              <w:rPr>
                <w:b/>
                <w:bCs/>
                <w:color w:val="0000FF"/>
              </w:rPr>
            </w:pPr>
            <w:r>
              <w:rPr>
                <w:b/>
                <w:bCs/>
                <w:color w:val="0000FF"/>
              </w:rPr>
              <w:t>This WID includes a Core part</w:t>
            </w:r>
          </w:p>
        </w:tc>
        <w:tc>
          <w:tcPr>
            <w:tcW w:w="862" w:type="dxa"/>
            <w:tcMar>
              <w:top w:w="28" w:type="dxa"/>
              <w:bottom w:w="28" w:type="dxa"/>
            </w:tcMar>
          </w:tcPr>
          <w:p>
            <w:pPr>
              <w:pStyle w:val="58"/>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8"/>
              <w:rPr>
                <w:b/>
                <w:bCs/>
                <w:color w:val="0000FF"/>
              </w:rPr>
            </w:pPr>
            <w:r>
              <w:rPr>
                <w:b/>
                <w:bCs/>
                <w:color w:val="0000FF"/>
              </w:rPr>
              <w:t>This WID includes a Performance part</w:t>
            </w:r>
          </w:p>
        </w:tc>
        <w:tc>
          <w:tcPr>
            <w:tcW w:w="862" w:type="dxa"/>
            <w:tcMar>
              <w:top w:w="28" w:type="dxa"/>
              <w:bottom w:w="28" w:type="dxa"/>
            </w:tcMar>
          </w:tcPr>
          <w:p>
            <w:pPr>
              <w:pStyle w:val="58"/>
              <w:jc w:val="center"/>
              <w:rPr>
                <w:b/>
                <w:bCs/>
              </w:rPr>
            </w:pPr>
          </w:p>
        </w:tc>
      </w:tr>
    </w:tbl>
    <w:p>
      <w:pPr>
        <w:pStyle w:val="67"/>
        <w:spacing w:after="0"/>
        <w:rPr>
          <w:color w:val="0000FF"/>
        </w:rPr>
      </w:pPr>
      <w:r>
        <w:rPr>
          <w:color w:val="0000FF"/>
        </w:rPr>
        <w:tab/>
      </w:r>
      <w:r>
        <w:rPr>
          <w:color w:val="0000FF"/>
        </w:rPr>
        <w:t>or:</w:t>
      </w:r>
    </w:p>
    <w:tbl>
      <w:tblPr>
        <w:tblStyle w:val="4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2"/>
        <w:gridCol w:w="1772"/>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gridSpan w:val="2"/>
            <w:shd w:val="clear" w:color="auto" w:fill="E0E0E0"/>
            <w:tcMar>
              <w:top w:w="28" w:type="dxa"/>
              <w:bottom w:w="28" w:type="dxa"/>
            </w:tcMar>
          </w:tcPr>
          <w:p>
            <w:pPr>
              <w:pStyle w:val="58"/>
              <w:rPr>
                <w:b/>
                <w:bCs/>
                <w:color w:val="0000FF"/>
              </w:rPr>
            </w:pPr>
            <w:r>
              <w:rPr>
                <w:b/>
                <w:bCs/>
                <w:color w:val="0000FF"/>
              </w:rPr>
              <w:t>This WID includes a Testing part</w:t>
            </w:r>
          </w:p>
        </w:tc>
        <w:tc>
          <w:tcPr>
            <w:tcW w:w="862" w:type="dxa"/>
            <w:tcMar>
              <w:top w:w="28" w:type="dxa"/>
              <w:bottom w:w="28" w:type="dxa"/>
            </w:tcMar>
          </w:tcPr>
          <w:p>
            <w:pPr>
              <w:pStyle w:val="58"/>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restart"/>
            <w:shd w:val="clear" w:color="auto" w:fill="E0E0E0"/>
            <w:tcMar>
              <w:top w:w="28" w:type="dxa"/>
              <w:bottom w:w="28" w:type="dxa"/>
            </w:tcMar>
          </w:tcPr>
          <w:p>
            <w:pPr>
              <w:pStyle w:val="58"/>
              <w:rPr>
                <w:b/>
                <w:bCs/>
                <w:color w:val="0000FF"/>
              </w:rPr>
            </w:pPr>
            <w:r>
              <w:rPr>
                <w:b/>
                <w:bCs/>
                <w:color w:val="0000FF"/>
              </w:rPr>
              <w:t>and it addresses the following 3GPP work area:</w:t>
            </w:r>
          </w:p>
        </w:tc>
        <w:tc>
          <w:tcPr>
            <w:tcW w:w="1772" w:type="dxa"/>
            <w:shd w:val="clear" w:color="auto" w:fill="E0E0E0"/>
          </w:tcPr>
          <w:p>
            <w:pPr>
              <w:pStyle w:val="58"/>
              <w:rPr>
                <w:b/>
                <w:bCs/>
                <w:color w:val="0000FF"/>
              </w:rPr>
            </w:pPr>
            <w:r>
              <w:rPr>
                <w:b/>
                <w:bCs/>
                <w:color w:val="0000FF"/>
              </w:rPr>
              <w:t>Radio Access</w:t>
            </w:r>
          </w:p>
        </w:tc>
        <w:tc>
          <w:tcPr>
            <w:tcW w:w="862" w:type="dxa"/>
            <w:tcMar>
              <w:top w:w="28" w:type="dxa"/>
              <w:bottom w:w="28" w:type="dxa"/>
            </w:tcMar>
          </w:tcPr>
          <w:p>
            <w:pPr>
              <w:pStyle w:val="58"/>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tcMar>
              <w:top w:w="28" w:type="dxa"/>
              <w:bottom w:w="28" w:type="dxa"/>
            </w:tcMar>
          </w:tcPr>
          <w:p>
            <w:pPr>
              <w:pStyle w:val="58"/>
              <w:rPr>
                <w:b/>
                <w:bCs/>
                <w:color w:val="0000FF"/>
              </w:rPr>
            </w:pPr>
          </w:p>
        </w:tc>
        <w:tc>
          <w:tcPr>
            <w:tcW w:w="1772" w:type="dxa"/>
            <w:shd w:val="clear" w:color="auto" w:fill="E0E0E0"/>
          </w:tcPr>
          <w:p>
            <w:pPr>
              <w:pStyle w:val="58"/>
              <w:rPr>
                <w:b/>
                <w:bCs/>
                <w:color w:val="0000FF"/>
              </w:rPr>
            </w:pPr>
            <w:r>
              <w:rPr>
                <w:b/>
                <w:bCs/>
                <w:color w:val="0000FF"/>
              </w:rPr>
              <w:t>Core Network</w:t>
            </w:r>
          </w:p>
        </w:tc>
        <w:tc>
          <w:tcPr>
            <w:tcW w:w="862" w:type="dxa"/>
            <w:tcMar>
              <w:top w:w="28" w:type="dxa"/>
              <w:bottom w:w="28" w:type="dxa"/>
            </w:tcMar>
          </w:tcPr>
          <w:p>
            <w:pPr>
              <w:pStyle w:val="58"/>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tcMar>
              <w:top w:w="28" w:type="dxa"/>
              <w:bottom w:w="28" w:type="dxa"/>
            </w:tcMar>
          </w:tcPr>
          <w:p>
            <w:pPr>
              <w:pStyle w:val="58"/>
              <w:rPr>
                <w:b/>
                <w:bCs/>
                <w:color w:val="0000FF"/>
              </w:rPr>
            </w:pPr>
          </w:p>
        </w:tc>
        <w:tc>
          <w:tcPr>
            <w:tcW w:w="1772" w:type="dxa"/>
            <w:shd w:val="clear" w:color="auto" w:fill="E0E0E0"/>
          </w:tcPr>
          <w:p>
            <w:pPr>
              <w:pStyle w:val="58"/>
              <w:rPr>
                <w:b/>
                <w:bCs/>
                <w:color w:val="0000FF"/>
              </w:rPr>
            </w:pPr>
            <w:r>
              <w:rPr>
                <w:b/>
                <w:bCs/>
                <w:color w:val="0000FF"/>
              </w:rPr>
              <w:t>Services</w:t>
            </w:r>
          </w:p>
        </w:tc>
        <w:tc>
          <w:tcPr>
            <w:tcW w:w="862" w:type="dxa"/>
            <w:tcMar>
              <w:top w:w="28" w:type="dxa"/>
              <w:bottom w:w="28" w:type="dxa"/>
            </w:tcMar>
          </w:tcPr>
          <w:p>
            <w:pPr>
              <w:pStyle w:val="58"/>
              <w:jc w:val="center"/>
              <w:rPr>
                <w:b/>
                <w:bCs/>
              </w:rPr>
            </w:pPr>
          </w:p>
        </w:tc>
      </w:tr>
    </w:tbl>
    <w:p>
      <w:pPr>
        <w:ind w:right="-99"/>
      </w:pPr>
      <w:r>
        <w:t xml:space="preserve"> </w:t>
      </w:r>
    </w:p>
    <w:p>
      <w:pPr>
        <w:pStyle w:val="3"/>
      </w:pPr>
      <w:r>
        <w:t>1</w:t>
      </w:r>
      <w:r>
        <w:tab/>
      </w:r>
      <w:r>
        <w:t>Impacts</w:t>
      </w:r>
    </w:p>
    <w:tbl>
      <w:tblPr>
        <w:tblStyle w:val="4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bottom w:val="single" w:color="auto" w:sz="12" w:space="0"/>
              <w:right w:val="single" w:color="auto" w:sz="12" w:space="0"/>
            </w:tcBorders>
            <w:shd w:val="clear" w:color="auto" w:fill="E0E0E0"/>
          </w:tcPr>
          <w:p>
            <w:pPr>
              <w:pStyle w:val="58"/>
              <w:keepNext w:val="0"/>
              <w:ind w:right="-99"/>
              <w:rPr>
                <w:b/>
              </w:rPr>
            </w:pPr>
            <w:r>
              <w:rPr>
                <w:b/>
              </w:rPr>
              <w:t>Affects:</w:t>
            </w:r>
          </w:p>
        </w:tc>
        <w:tc>
          <w:tcPr>
            <w:tcW w:w="1127" w:type="dxa"/>
            <w:tcBorders>
              <w:left w:val="nil"/>
              <w:bottom w:val="single" w:color="auto" w:sz="12" w:space="0"/>
            </w:tcBorders>
            <w:shd w:val="clear" w:color="auto" w:fill="E0E0E0"/>
          </w:tcPr>
          <w:p>
            <w:pPr>
              <w:pStyle w:val="76"/>
            </w:pPr>
            <w:r>
              <w:t>UICC apps</w:t>
            </w:r>
          </w:p>
        </w:tc>
        <w:tc>
          <w:tcPr>
            <w:tcW w:w="486" w:type="dxa"/>
            <w:tcBorders>
              <w:bottom w:val="single" w:color="auto" w:sz="12" w:space="0"/>
            </w:tcBorders>
            <w:shd w:val="clear" w:color="auto" w:fill="E0E0E0"/>
          </w:tcPr>
          <w:p>
            <w:pPr>
              <w:pStyle w:val="76"/>
            </w:pPr>
            <w:r>
              <w:t>ME</w:t>
            </w:r>
          </w:p>
        </w:tc>
        <w:tc>
          <w:tcPr>
            <w:tcW w:w="476" w:type="dxa"/>
            <w:tcBorders>
              <w:bottom w:val="single" w:color="auto" w:sz="12" w:space="0"/>
            </w:tcBorders>
            <w:shd w:val="clear" w:color="auto" w:fill="E0E0E0"/>
          </w:tcPr>
          <w:p>
            <w:pPr>
              <w:pStyle w:val="76"/>
            </w:pPr>
            <w:r>
              <w:t>AN</w:t>
            </w:r>
          </w:p>
        </w:tc>
        <w:tc>
          <w:tcPr>
            <w:tcW w:w="476" w:type="dxa"/>
            <w:tcBorders>
              <w:bottom w:val="single" w:color="auto" w:sz="12" w:space="0"/>
            </w:tcBorders>
            <w:shd w:val="clear" w:color="auto" w:fill="E0E0E0"/>
          </w:tcPr>
          <w:p>
            <w:pPr>
              <w:pStyle w:val="76"/>
            </w:pPr>
            <w:r>
              <w:t>CN</w:t>
            </w:r>
          </w:p>
        </w:tc>
        <w:tc>
          <w:tcPr>
            <w:tcW w:w="1587" w:type="dxa"/>
            <w:tcBorders>
              <w:bottom w:val="single" w:color="auto" w:sz="12" w:space="0"/>
            </w:tcBorders>
            <w:shd w:val="clear" w:color="auto" w:fill="E0E0E0"/>
          </w:tcPr>
          <w:p>
            <w:pPr>
              <w:pStyle w:val="76"/>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top w:val="nil"/>
              <w:right w:val="single" w:color="auto" w:sz="12" w:space="0"/>
            </w:tcBorders>
          </w:tcPr>
          <w:p>
            <w:pPr>
              <w:pStyle w:val="58"/>
              <w:keepNext w:val="0"/>
              <w:ind w:right="-99"/>
              <w:rPr>
                <w:b/>
              </w:rPr>
            </w:pPr>
            <w:r>
              <w:rPr>
                <w:b/>
              </w:rPr>
              <w:t>Yes</w:t>
            </w:r>
          </w:p>
        </w:tc>
        <w:tc>
          <w:tcPr>
            <w:tcW w:w="1127" w:type="dxa"/>
            <w:tcBorders>
              <w:top w:val="nil"/>
              <w:left w:val="nil"/>
            </w:tcBorders>
          </w:tcPr>
          <w:p>
            <w:pPr>
              <w:pStyle w:val="62"/>
            </w:pPr>
          </w:p>
        </w:tc>
        <w:tc>
          <w:tcPr>
            <w:tcW w:w="486" w:type="dxa"/>
            <w:tcBorders>
              <w:top w:val="nil"/>
            </w:tcBorders>
          </w:tcPr>
          <w:p>
            <w:pPr>
              <w:pStyle w:val="62"/>
            </w:pPr>
            <w:r>
              <w:rPr>
                <w:rFonts w:hint="eastAsia"/>
                <w:lang w:eastAsia="zh-CN"/>
              </w:rPr>
              <w:t>x</w:t>
            </w:r>
          </w:p>
        </w:tc>
        <w:tc>
          <w:tcPr>
            <w:tcW w:w="476" w:type="dxa"/>
            <w:tcBorders>
              <w:top w:val="nil"/>
            </w:tcBorders>
          </w:tcPr>
          <w:p>
            <w:pPr>
              <w:pStyle w:val="62"/>
              <w:rPr>
                <w:lang w:eastAsia="zh-CN"/>
              </w:rPr>
            </w:pPr>
            <w:r>
              <w:rPr>
                <w:rFonts w:hint="eastAsia"/>
                <w:lang w:eastAsia="zh-CN"/>
              </w:rPr>
              <w:t>x</w:t>
            </w:r>
          </w:p>
        </w:tc>
        <w:tc>
          <w:tcPr>
            <w:tcW w:w="476" w:type="dxa"/>
            <w:tcBorders>
              <w:top w:val="nil"/>
            </w:tcBorders>
          </w:tcPr>
          <w:p>
            <w:pPr>
              <w:pStyle w:val="62"/>
            </w:pPr>
          </w:p>
        </w:tc>
        <w:tc>
          <w:tcPr>
            <w:tcW w:w="1587" w:type="dxa"/>
            <w:tcBorders>
              <w:top w:val="nil"/>
            </w:tcBorders>
          </w:tcPr>
          <w:p>
            <w:pPr>
              <w:pStyle w:val="62"/>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tcPr>
          <w:p>
            <w:pPr>
              <w:pStyle w:val="58"/>
              <w:keepNext w:val="0"/>
              <w:ind w:right="-99"/>
              <w:rPr>
                <w:b/>
              </w:rPr>
            </w:pPr>
            <w:r>
              <w:rPr>
                <w:b/>
              </w:rPr>
              <w:t>No</w:t>
            </w:r>
          </w:p>
        </w:tc>
        <w:tc>
          <w:tcPr>
            <w:tcW w:w="1127" w:type="dxa"/>
            <w:tcBorders>
              <w:left w:val="nil"/>
            </w:tcBorders>
          </w:tcPr>
          <w:p>
            <w:pPr>
              <w:pStyle w:val="62"/>
              <w:rPr>
                <w:lang w:eastAsia="zh-CN"/>
              </w:rPr>
            </w:pPr>
            <w:r>
              <w:rPr>
                <w:lang w:eastAsia="zh-CN"/>
              </w:rPr>
              <w:t>X</w:t>
            </w:r>
          </w:p>
        </w:tc>
        <w:tc>
          <w:tcPr>
            <w:tcW w:w="486" w:type="dxa"/>
          </w:tcPr>
          <w:p>
            <w:pPr>
              <w:pStyle w:val="62"/>
              <w:rPr>
                <w:lang w:eastAsia="zh-CN"/>
              </w:rPr>
            </w:pPr>
          </w:p>
        </w:tc>
        <w:tc>
          <w:tcPr>
            <w:tcW w:w="476" w:type="dxa"/>
          </w:tcPr>
          <w:p>
            <w:pPr>
              <w:pStyle w:val="62"/>
            </w:pPr>
          </w:p>
        </w:tc>
        <w:tc>
          <w:tcPr>
            <w:tcW w:w="476" w:type="dxa"/>
          </w:tcPr>
          <w:p>
            <w:pPr>
              <w:pStyle w:val="62"/>
            </w:pPr>
          </w:p>
        </w:tc>
        <w:tc>
          <w:tcPr>
            <w:tcW w:w="1587" w:type="dxa"/>
          </w:tcPr>
          <w:p>
            <w:pPr>
              <w:pStyle w:val="62"/>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tcPr>
          <w:p>
            <w:pPr>
              <w:pStyle w:val="58"/>
              <w:keepNext w:val="0"/>
              <w:ind w:right="-99"/>
              <w:rPr>
                <w:b/>
              </w:rPr>
            </w:pPr>
            <w:r>
              <w:rPr>
                <w:b/>
              </w:rPr>
              <w:t>Don't know</w:t>
            </w:r>
          </w:p>
        </w:tc>
        <w:tc>
          <w:tcPr>
            <w:tcW w:w="1127" w:type="dxa"/>
            <w:tcBorders>
              <w:left w:val="nil"/>
            </w:tcBorders>
          </w:tcPr>
          <w:p>
            <w:pPr>
              <w:pStyle w:val="62"/>
            </w:pPr>
          </w:p>
        </w:tc>
        <w:tc>
          <w:tcPr>
            <w:tcW w:w="486" w:type="dxa"/>
          </w:tcPr>
          <w:p>
            <w:pPr>
              <w:pStyle w:val="62"/>
            </w:pPr>
          </w:p>
        </w:tc>
        <w:tc>
          <w:tcPr>
            <w:tcW w:w="476" w:type="dxa"/>
          </w:tcPr>
          <w:p>
            <w:pPr>
              <w:pStyle w:val="62"/>
            </w:pPr>
          </w:p>
        </w:tc>
        <w:tc>
          <w:tcPr>
            <w:tcW w:w="476" w:type="dxa"/>
          </w:tcPr>
          <w:p>
            <w:pPr>
              <w:pStyle w:val="62"/>
              <w:rPr>
                <w:lang w:eastAsia="zh-CN"/>
              </w:rPr>
            </w:pPr>
            <w:r>
              <w:rPr>
                <w:lang w:eastAsia="zh-CN"/>
              </w:rPr>
              <w:t>X</w:t>
            </w:r>
          </w:p>
        </w:tc>
        <w:tc>
          <w:tcPr>
            <w:tcW w:w="1587" w:type="dxa"/>
          </w:tcPr>
          <w:p>
            <w:pPr>
              <w:pStyle w:val="62"/>
              <w:rPr>
                <w:lang w:eastAsia="zh-CN"/>
              </w:rPr>
            </w:pPr>
            <w:r>
              <w:rPr>
                <w:lang w:eastAsia="zh-CN"/>
              </w:rPr>
              <w:t>X</w:t>
            </w:r>
          </w:p>
        </w:tc>
      </w:tr>
    </w:tbl>
    <w:p>
      <w:pPr>
        <w:ind w:right="-99"/>
        <w:rPr>
          <w:b/>
        </w:rPr>
      </w:pPr>
    </w:p>
    <w:p>
      <w:pPr>
        <w:pStyle w:val="3"/>
      </w:pPr>
      <w:r>
        <w:t>2</w:t>
      </w:r>
      <w:r>
        <w:tab/>
      </w:r>
      <w:r>
        <w:t>Classification of the Work Item and linked work items</w:t>
      </w:r>
    </w:p>
    <w:p>
      <w:pPr>
        <w:pStyle w:val="4"/>
        <w:rPr>
          <w:lang w:eastAsia="zh-CN"/>
        </w:rPr>
      </w:pPr>
      <w:r>
        <w:t>2.1</w:t>
      </w:r>
      <w:r>
        <w:tab/>
      </w:r>
      <w:r>
        <w:t>Primary classification</w:t>
      </w:r>
    </w:p>
    <w:tbl>
      <w:tblPr>
        <w:tblStyle w:val="46"/>
        <w:tblW w:w="0" w:type="auto"/>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62"/>
              <w:rPr>
                <w:lang w:eastAsia="zh-CN"/>
              </w:rPr>
            </w:pPr>
          </w:p>
        </w:tc>
        <w:tc>
          <w:tcPr>
            <w:tcW w:w="2694" w:type="dxa"/>
            <w:shd w:val="clear" w:color="auto" w:fill="E0E0E0"/>
          </w:tcPr>
          <w:p>
            <w:pPr>
              <w:pStyle w:val="76"/>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62"/>
            </w:pPr>
          </w:p>
        </w:tc>
        <w:tc>
          <w:tcPr>
            <w:tcW w:w="2694" w:type="dxa"/>
            <w:shd w:val="clear" w:color="auto" w:fill="E0E0E0"/>
            <w:tcMar>
              <w:left w:w="227" w:type="dxa"/>
            </w:tcMar>
          </w:tcPr>
          <w:p>
            <w:pPr>
              <w:pStyle w:val="76"/>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62"/>
            </w:pPr>
          </w:p>
        </w:tc>
        <w:tc>
          <w:tcPr>
            <w:tcW w:w="2694" w:type="dxa"/>
            <w:shd w:val="clear" w:color="auto" w:fill="E0E0E0"/>
            <w:tcMar>
              <w:left w:w="397" w:type="dxa"/>
            </w:tcMar>
          </w:tcPr>
          <w:p>
            <w:pPr>
              <w:pStyle w:val="76"/>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62"/>
            </w:pPr>
            <w:r>
              <w:t>X</w:t>
            </w:r>
          </w:p>
        </w:tc>
        <w:tc>
          <w:tcPr>
            <w:tcW w:w="2694" w:type="dxa"/>
            <w:shd w:val="clear" w:color="auto" w:fill="E0E0E0"/>
          </w:tcPr>
          <w:p>
            <w:pPr>
              <w:pStyle w:val="76"/>
              <w:ind w:right="-99"/>
              <w:jc w:val="left"/>
            </w:pPr>
            <w:r>
              <w:rPr>
                <w:color w:val="4F81BD"/>
                <w:sz w:val="20"/>
              </w:rPr>
              <w:t>Study Item</w:t>
            </w:r>
          </w:p>
        </w:tc>
      </w:tr>
    </w:tbl>
    <w:p>
      <w:pPr>
        <w:ind w:right="-99"/>
        <w:rPr>
          <w:b/>
        </w:rPr>
      </w:pPr>
    </w:p>
    <w:p>
      <w:pPr>
        <w:pStyle w:val="67"/>
        <w:spacing w:after="0"/>
        <w:rPr>
          <w:color w:val="0000FF"/>
        </w:rPr>
      </w:pPr>
      <w:r>
        <w:rPr>
          <w:color w:val="0000FF"/>
        </w:rPr>
        <w:t>NOTE:</w:t>
      </w:r>
      <w:r>
        <w:rPr>
          <w:color w:val="0000FF"/>
        </w:rPr>
        <w:tab/>
      </w:r>
      <w:r>
        <w:rPr>
          <w:color w:val="0000FF"/>
        </w:rPr>
        <w:t>Normally, Core/Perf./Testing parts in RAN WIDs are Building Blocks. Only if they are under an SA or CT umbrella, we define them as work tasks. If you are in doubt, please contact MCC.</w:t>
      </w:r>
    </w:p>
    <w:p>
      <w:pPr>
        <w:pStyle w:val="4"/>
        <w:rPr>
          <w:lang w:eastAsia="zh-CN"/>
        </w:rPr>
      </w:pPr>
      <w:r>
        <w:t>2.2</w:t>
      </w:r>
      <w:r>
        <w:tab/>
      </w:r>
      <w:r>
        <w:t xml:space="preserve">Parent and child Work Items </w:t>
      </w:r>
    </w:p>
    <w:tbl>
      <w:tblPr>
        <w:tblStyle w:val="46"/>
        <w:tblW w:w="0" w:type="auto"/>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969"/>
        <w:gridCol w:w="453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9606" w:type="dxa"/>
            <w:gridSpan w:val="3"/>
            <w:shd w:val="clear" w:color="auto" w:fill="E0E0E0"/>
          </w:tcPr>
          <w:p>
            <w:pPr>
              <w:pStyle w:val="76"/>
              <w:ind w:right="-99"/>
              <w:jc w:val="left"/>
            </w:pPr>
            <w:r>
              <w:t xml:space="preserve">Parent and child Work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tcPr>
          <w:p>
            <w:pPr>
              <w:pStyle w:val="76"/>
              <w:ind w:right="-99"/>
              <w:jc w:val="left"/>
            </w:pPr>
            <w:r>
              <w:t>Unique ID</w:t>
            </w:r>
          </w:p>
        </w:tc>
        <w:tc>
          <w:tcPr>
            <w:tcW w:w="3969" w:type="dxa"/>
            <w:shd w:val="clear" w:color="auto" w:fill="E0E0E0"/>
          </w:tcPr>
          <w:p>
            <w:pPr>
              <w:pStyle w:val="76"/>
              <w:ind w:right="-99"/>
              <w:jc w:val="left"/>
            </w:pPr>
            <w:r>
              <w:t>Title</w:t>
            </w:r>
          </w:p>
        </w:tc>
        <w:tc>
          <w:tcPr>
            <w:tcW w:w="4536" w:type="dxa"/>
            <w:shd w:val="clear" w:color="auto" w:fill="E0E0E0"/>
          </w:tcPr>
          <w:p>
            <w:pPr>
              <w:pStyle w:val="76"/>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8"/>
            </w:pPr>
          </w:p>
        </w:tc>
        <w:tc>
          <w:tcPr>
            <w:tcW w:w="3969" w:type="dxa"/>
          </w:tcPr>
          <w:p>
            <w:pPr>
              <w:pStyle w:val="58"/>
            </w:pPr>
          </w:p>
        </w:tc>
        <w:tc>
          <w:tcPr>
            <w:tcW w:w="4536" w:type="dxa"/>
          </w:tcPr>
          <w:p>
            <w:pPr>
              <w:pStyle w:val="96"/>
              <w:rPr>
                <w:rFonts w:eastAsia="宋体"/>
                <w:lang w:eastAsia="zh-CN"/>
              </w:rPr>
            </w:pPr>
          </w:p>
        </w:tc>
      </w:tr>
    </w:tbl>
    <w:p>
      <w:pPr>
        <w:pStyle w:val="67"/>
        <w:spacing w:after="0"/>
        <w:rPr>
          <w:color w:val="0000FF"/>
        </w:rPr>
      </w:pPr>
      <w:r>
        <w:rPr>
          <w:color w:val="0000FF"/>
        </w:rPr>
        <w:t>NOTE:</w:t>
      </w:r>
      <w:r>
        <w:rPr>
          <w:color w:val="0000FF"/>
        </w:rPr>
        <w:tab/>
      </w:r>
      <w:r>
        <w:rPr>
          <w:color w:val="0000FF"/>
        </w:rPr>
        <w:t>RAN agreed some time ago, that it describes the feature WI + Core/Perf. part WI or Testing part WI in one WID. Therefore the table above should just include the feature WI Unique ID and title and Nature of relationship is "parent WID".</w:t>
      </w:r>
    </w:p>
    <w:p>
      <w:pPr>
        <w:ind w:right="-99"/>
        <w:rPr>
          <w:b/>
        </w:rPr>
      </w:pPr>
    </w:p>
    <w:p>
      <w:pPr>
        <w:pStyle w:val="4"/>
        <w:rPr>
          <w:lang w:eastAsia="zh-CN"/>
        </w:rPr>
      </w:pPr>
      <w:r>
        <w:t>2.3</w:t>
      </w:r>
      <w:r>
        <w:tab/>
      </w:r>
      <w:r>
        <w:t>Other related Work Items and dependencies</w:t>
      </w:r>
    </w:p>
    <w:tbl>
      <w:tblPr>
        <w:tblStyle w:val="46"/>
        <w:tblW w:w="0" w:type="auto"/>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969"/>
        <w:gridCol w:w="453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9606" w:type="dxa"/>
            <w:gridSpan w:val="3"/>
            <w:shd w:val="clear" w:color="auto" w:fill="E0E0E0"/>
          </w:tcPr>
          <w:p>
            <w:pPr>
              <w:pStyle w:val="76"/>
              <w:ind w:right="-99"/>
              <w:jc w:val="left"/>
            </w:pPr>
            <w: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tcPr>
          <w:p>
            <w:pPr>
              <w:pStyle w:val="76"/>
              <w:ind w:right="-99"/>
              <w:jc w:val="left"/>
            </w:pPr>
            <w:r>
              <w:t>Unique ID</w:t>
            </w:r>
          </w:p>
        </w:tc>
        <w:tc>
          <w:tcPr>
            <w:tcW w:w="3969" w:type="dxa"/>
            <w:shd w:val="clear" w:color="auto" w:fill="E0E0E0"/>
          </w:tcPr>
          <w:p>
            <w:pPr>
              <w:pStyle w:val="76"/>
              <w:ind w:right="-99"/>
              <w:jc w:val="left"/>
            </w:pPr>
            <w:r>
              <w:t>Title</w:t>
            </w:r>
          </w:p>
        </w:tc>
        <w:tc>
          <w:tcPr>
            <w:tcW w:w="4536" w:type="dxa"/>
            <w:shd w:val="clear" w:color="auto" w:fill="E0E0E0"/>
          </w:tcPr>
          <w:p>
            <w:pPr>
              <w:pStyle w:val="76"/>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8"/>
              <w:rPr>
                <w:rFonts w:ascii="Times New Roman" w:hAnsi="Times New Roman" w:eastAsia="Times New Roman"/>
              </w:rPr>
            </w:pPr>
            <w:r>
              <w:t>880076</w:t>
            </w:r>
          </w:p>
        </w:tc>
        <w:tc>
          <w:tcPr>
            <w:tcW w:w="3969" w:type="dxa"/>
          </w:tcPr>
          <w:p>
            <w:pPr>
              <w:pStyle w:val="58"/>
              <w:rPr>
                <w:rFonts w:ascii="Times New Roman" w:hAnsi="Times New Roman" w:eastAsia="Times New Roman"/>
              </w:rPr>
            </w:pPr>
            <w:r>
              <w:rPr>
                <w:rFonts w:ascii="Times New Roman" w:hAnsi="Times New Roman" w:eastAsia="Times New Roman"/>
              </w:rPr>
              <w:t>Study on enhancement for data collection for NR and ENDC</w:t>
            </w:r>
          </w:p>
        </w:tc>
        <w:tc>
          <w:tcPr>
            <w:tcW w:w="4536" w:type="dxa"/>
          </w:tcPr>
          <w:p>
            <w:pPr>
              <w:pStyle w:val="96"/>
              <w:rPr>
                <w:rFonts w:eastAsia="Times New Roman"/>
                <w:sz w:val="18"/>
                <w:szCs w:val="20"/>
                <w:lang w:val="en-GB"/>
              </w:rPr>
            </w:pPr>
            <w:r>
              <w:rPr>
                <w:rFonts w:eastAsia="Times New Roman"/>
                <w:sz w:val="18"/>
                <w:szCs w:val="20"/>
                <w:lang w:val="en-GB"/>
              </w:rPr>
              <w:t>Preceding Study Item</w:t>
            </w:r>
          </w:p>
        </w:tc>
      </w:tr>
    </w:tbl>
    <w:p>
      <w:pPr>
        <w:pStyle w:val="67"/>
        <w:spacing w:after="0"/>
        <w:rPr>
          <w:color w:val="0000FF"/>
        </w:rPr>
      </w:pPr>
      <w:r>
        <w:rPr>
          <w:color w:val="0000FF"/>
        </w:rPr>
        <w:t>NOTE:</w:t>
      </w:r>
      <w:r>
        <w:rPr>
          <w:color w:val="0000FF"/>
        </w:rPr>
        <w:tab/>
      </w:r>
      <w:r>
        <w:rPr>
          <w:color w:val="0000FF"/>
        </w:rPr>
        <w:t>Classical examples: List a preceding SI or a preceding WI (e.g. if you further enhance a topic). Also related or dependent WIs in other TSGs should be indicated.</w:t>
      </w:r>
    </w:p>
    <w:p>
      <w:pPr>
        <w:ind w:right="-99"/>
        <w:rPr>
          <w:b/>
        </w:rPr>
      </w:pPr>
    </w:p>
    <w:p>
      <w:pPr>
        <w:ind w:right="-99"/>
      </w:pPr>
      <w:r>
        <w:rPr>
          <w:b/>
        </w:rPr>
        <w:t>Dependency on non-3GPP (draft) specification</w:t>
      </w:r>
      <w:r>
        <w:t xml:space="preserve">: </w:t>
      </w:r>
    </w:p>
    <w:p>
      <w:pPr>
        <w:pStyle w:val="3"/>
      </w:pPr>
      <w:r>
        <w:t>3</w:t>
      </w:r>
      <w:r>
        <w:tab/>
      </w:r>
      <w:r>
        <w:t>Justification</w:t>
      </w:r>
    </w:p>
    <w:p>
      <w:pPr>
        <w:pStyle w:val="42"/>
        <w:keepNext w:val="0"/>
        <w:keepLines w:val="0"/>
        <w:widowControl/>
        <w:suppressLineNumbers w:val="0"/>
        <w:rPr>
          <w:rFonts w:hint="default" w:ascii="Times New Roman" w:hAnsi="Times New Roman" w:eastAsia="宋体" w:cs="Times New Roman"/>
          <w:i w:val="0"/>
          <w:caps w:val="0"/>
          <w:spacing w:val="0"/>
          <w:kern w:val="0"/>
          <w:sz w:val="20"/>
          <w:szCs w:val="20"/>
          <w:shd w:val="clear"/>
          <w:lang w:val="en-US" w:eastAsia="zh-CN" w:bidi="ar"/>
        </w:rPr>
      </w:pPr>
      <w:r>
        <w:rPr>
          <w:rFonts w:hint="default" w:ascii="Times New Roman" w:hAnsi="Times New Roman" w:eastAsia="宋体" w:cs="Times New Roman"/>
          <w:i w:val="0"/>
          <w:caps w:val="0"/>
          <w:spacing w:val="0"/>
          <w:kern w:val="0"/>
          <w:sz w:val="20"/>
          <w:szCs w:val="20"/>
          <w:shd w:val="clear"/>
          <w:lang w:val="en-US" w:eastAsia="zh-CN" w:bidi="ar"/>
        </w:rPr>
        <w:t>5G networks are expected to meet the challenges of consistent optimization of increasing numbers of key performance indicators (KPIs) including latency, reliability, connection density, user experience, energy efficiency,</w:t>
      </w:r>
      <w:r>
        <w:rPr>
          <w:rFonts w:hint="eastAsia" w:ascii="Times New Roman" w:hAnsi="Times New Roman" w:eastAsia="宋体" w:cs="Times New Roman"/>
          <w:i w:val="0"/>
          <w:caps w:val="0"/>
          <w:spacing w:val="0"/>
          <w:kern w:val="0"/>
          <w:sz w:val="20"/>
          <w:szCs w:val="20"/>
          <w:shd w:val="clear"/>
          <w:lang w:val="en-US" w:eastAsia="zh-CN" w:bidi="ar"/>
        </w:rPr>
        <w:t xml:space="preserve"> </w:t>
      </w:r>
      <w:r>
        <w:rPr>
          <w:rFonts w:hint="default" w:ascii="Times New Roman" w:hAnsi="Times New Roman" w:eastAsia="宋体" w:cs="Times New Roman"/>
          <w:i w:val="0"/>
          <w:caps w:val="0"/>
          <w:spacing w:val="0"/>
          <w:kern w:val="0"/>
          <w:sz w:val="20"/>
          <w:szCs w:val="20"/>
          <w:shd w:val="clear"/>
          <w:lang w:val="en-US" w:eastAsia="zh-CN" w:bidi="ar"/>
        </w:rPr>
        <w:t>etc. Artificial Intelligence (AI) /Machine learning (ML) provides a powerful tool to help operators to improve the network management and the user experience, by analyzing the data collected and autonomously processed that can yield further insights. </w:t>
      </w:r>
    </w:p>
    <w:p>
      <w:pPr>
        <w:pStyle w:val="42"/>
        <w:keepNext w:val="0"/>
        <w:keepLines w:val="0"/>
        <w:widowControl/>
        <w:suppressLineNumbers w:val="0"/>
        <w:rPr>
          <w:bCs/>
          <w:lang w:eastAsia="zh-CN"/>
        </w:rPr>
      </w:pPr>
      <w:r>
        <w:rPr>
          <w:rFonts w:hint="default" w:ascii="Times New Roman" w:hAnsi="Times New Roman" w:eastAsia="宋体" w:cs="Times New Roman"/>
          <w:i w:val="0"/>
          <w:caps w:val="0"/>
          <w:spacing w:val="0"/>
          <w:kern w:val="0"/>
          <w:sz w:val="20"/>
          <w:szCs w:val="20"/>
          <w:shd w:val="clear"/>
          <w:lang w:val="en-US" w:eastAsia="zh-CN" w:bidi="ar"/>
        </w:rPr>
        <w:t>The study item 880076 “Study on enhancement for data collection for NR and EN-DC” studied general high-level principles, AI/ML functional framework and the potential use cases, and the identified potential solutions for these use cases. The accomplishments of the study for AI enabled RAN are documented in TR37.817. The normative work based on the conclusion of R17 SI should be continued in R18.</w:t>
      </w:r>
    </w:p>
    <w:p>
      <w:pPr>
        <w:pStyle w:val="3"/>
      </w:pPr>
      <w:r>
        <w:t>4</w:t>
      </w:r>
      <w:r>
        <w:tab/>
      </w:r>
      <w:r>
        <w:t>Objective</w:t>
      </w:r>
    </w:p>
    <w:p>
      <w:pPr>
        <w:pStyle w:val="4"/>
        <w:rPr>
          <w:color w:val="0000FF"/>
        </w:rPr>
      </w:pPr>
      <w:r>
        <w:rPr>
          <w:color w:val="0000FF"/>
        </w:rPr>
        <w:t>4.1</w:t>
      </w:r>
      <w:r>
        <w:rPr>
          <w:color w:val="0000FF"/>
        </w:rPr>
        <w:tab/>
      </w:r>
      <w:r>
        <w:rPr>
          <w:color w:val="0000FF"/>
        </w:rPr>
        <w:t>Objective of SI or Core part WI or Testing part WI</w:t>
      </w:r>
    </w:p>
    <w:p>
      <w:pPr>
        <w:pStyle w:val="42"/>
        <w:keepNext w:val="0"/>
        <w:keepLines w:val="0"/>
        <w:widowControl/>
        <w:suppressLineNumbers w:val="0"/>
        <w:rPr>
          <w:rFonts w:hint="default" w:ascii="Times New Roman" w:hAnsi="Times New Roman" w:eastAsia="宋体" w:cs="Times New Roman"/>
          <w:i w:val="0"/>
          <w:caps w:val="0"/>
          <w:spacing w:val="0"/>
          <w:kern w:val="0"/>
          <w:sz w:val="20"/>
          <w:szCs w:val="20"/>
          <w:shd w:val="clear"/>
          <w:lang w:val="en-US" w:eastAsia="zh-CN" w:bidi="ar"/>
        </w:rPr>
      </w:pPr>
      <w:r>
        <w:rPr>
          <w:rFonts w:hint="default" w:ascii="Times New Roman" w:hAnsi="Times New Roman" w:eastAsia="宋体" w:cs="Times New Roman"/>
          <w:i w:val="0"/>
          <w:caps w:val="0"/>
          <w:spacing w:val="0"/>
          <w:kern w:val="0"/>
          <w:sz w:val="20"/>
          <w:szCs w:val="20"/>
          <w:shd w:val="clear"/>
          <w:lang w:val="en-US" w:eastAsia="zh-CN" w:bidi="ar"/>
        </w:rPr>
        <w:t>The detailed objectives of the WI are listed as follows:</w:t>
      </w:r>
    </w:p>
    <w:p>
      <w:pPr>
        <w:pStyle w:val="42"/>
        <w:keepNext w:val="0"/>
        <w:keepLines w:val="0"/>
        <w:widowControl/>
        <w:suppressLineNumbers w:val="0"/>
        <w:rPr>
          <w:rFonts w:hint="default" w:ascii="Times New Roman" w:hAnsi="Times New Roman" w:eastAsia="宋体" w:cs="Times New Roman"/>
          <w:i w:val="0"/>
          <w:caps w:val="0"/>
          <w:spacing w:val="0"/>
          <w:kern w:val="0"/>
          <w:sz w:val="20"/>
          <w:szCs w:val="20"/>
          <w:shd w:val="clear"/>
          <w:lang w:val="en-US" w:eastAsia="zh-CN" w:bidi="ar"/>
        </w:rPr>
      </w:pPr>
      <w:r>
        <w:rPr>
          <w:rFonts w:hint="default" w:ascii="Times New Roman" w:hAnsi="Times New Roman" w:eastAsia="宋体" w:cs="Times New Roman"/>
          <w:i w:val="0"/>
          <w:caps w:val="0"/>
          <w:spacing w:val="0"/>
          <w:kern w:val="0"/>
          <w:sz w:val="20"/>
          <w:szCs w:val="20"/>
          <w:shd w:val="clear"/>
          <w:lang w:val="en-US" w:eastAsia="zh-CN" w:bidi="ar"/>
        </w:rPr>
        <w:t>Specify data collection enhancements and signaling support within existing NG-RAN interfaces and architecture (including non-split architecture and split architecture) for AI/ML-based Network Energy Saving, Load Balancing and Mobility Optimization. (RAN3)</w:t>
      </w:r>
    </w:p>
    <w:p>
      <w:pPr>
        <w:pStyle w:val="42"/>
        <w:keepNext w:val="0"/>
        <w:keepLines w:val="0"/>
        <w:widowControl/>
        <w:suppressLineNumbers w:val="0"/>
        <w:rPr>
          <w:rFonts w:hint="default" w:ascii="Times New Roman" w:hAnsi="Times New Roman" w:eastAsia="宋体" w:cs="Times New Roman"/>
          <w:i w:val="0"/>
          <w:caps w:val="0"/>
          <w:spacing w:val="0"/>
          <w:kern w:val="0"/>
          <w:sz w:val="20"/>
          <w:szCs w:val="20"/>
          <w:shd w:val="clear"/>
          <w:lang w:val="en-US" w:eastAsia="zh-CN" w:bidi="ar"/>
        </w:rPr>
      </w:pPr>
      <w:r>
        <w:rPr>
          <w:rFonts w:hint="default" w:ascii="Times New Roman" w:hAnsi="Times New Roman" w:eastAsia="宋体" w:cs="Times New Roman"/>
          <w:i w:val="0"/>
          <w:caps w:val="0"/>
          <w:spacing w:val="0"/>
          <w:kern w:val="0"/>
          <w:sz w:val="20"/>
          <w:szCs w:val="20"/>
          <w:shd w:val="clear"/>
          <w:lang w:val="en-US" w:eastAsia="zh-CN" w:bidi="ar"/>
        </w:rPr>
        <w:t>Note: On security impacts, coordination with SA3 when needed.</w:t>
      </w:r>
      <w:r>
        <w:rPr>
          <w:rFonts w:hint="eastAsia" w:ascii="Times New Roman" w:hAnsi="Times New Roman" w:eastAsia="宋体" w:cs="Times New Roman"/>
          <w:i w:val="0"/>
          <w:caps w:val="0"/>
          <w:spacing w:val="0"/>
          <w:kern w:val="0"/>
          <w:sz w:val="20"/>
          <w:szCs w:val="20"/>
          <w:shd w:val="clear"/>
          <w:lang w:val="en-US" w:eastAsia="zh-CN" w:bidi="ar"/>
        </w:rPr>
        <w:t xml:space="preserve"> </w:t>
      </w:r>
      <w:r>
        <w:rPr>
          <w:rFonts w:hint="default" w:ascii="Times New Roman" w:hAnsi="Times New Roman" w:eastAsia="宋体" w:cs="Times New Roman"/>
          <w:i w:val="0"/>
          <w:caps w:val="0"/>
          <w:spacing w:val="0"/>
          <w:kern w:val="0"/>
          <w:sz w:val="20"/>
          <w:szCs w:val="20"/>
          <w:shd w:val="clear"/>
          <w:lang w:val="en-US" w:eastAsia="zh-CN" w:bidi="ar"/>
        </w:rPr>
        <w:t>On OAM aspects, coordination with SA5 when needed.</w:t>
      </w:r>
    </w:p>
    <w:p>
      <w:pPr>
        <w:pStyle w:val="42"/>
        <w:keepNext w:val="0"/>
        <w:keepLines w:val="0"/>
        <w:widowControl/>
        <w:suppressLineNumbers w:val="0"/>
        <w:rPr>
          <w:rFonts w:hint="default" w:ascii="Times New Roman" w:hAnsi="Times New Roman" w:eastAsia="宋体" w:cs="Times New Roman"/>
          <w:i w:val="0"/>
          <w:caps w:val="0"/>
          <w:spacing w:val="0"/>
          <w:kern w:val="0"/>
          <w:sz w:val="20"/>
          <w:szCs w:val="20"/>
          <w:shd w:val="clear"/>
          <w:lang w:val="en-US" w:eastAsia="zh-CN" w:bidi="ar"/>
        </w:rPr>
      </w:pPr>
      <w:r>
        <w:rPr>
          <w:rFonts w:hint="eastAsia" w:ascii="Times New Roman" w:hAnsi="Times New Roman" w:eastAsia="宋体" w:cs="Times New Roman"/>
          <w:i w:val="0"/>
          <w:caps w:val="0"/>
          <w:spacing w:val="0"/>
          <w:kern w:val="0"/>
          <w:sz w:val="20"/>
          <w:szCs w:val="20"/>
          <w:shd w:val="clear"/>
          <w:lang w:val="en-US" w:eastAsia="zh-CN" w:bidi="ar"/>
        </w:rPr>
        <w:t>Editor</w:t>
      </w:r>
      <w:r>
        <w:rPr>
          <w:rFonts w:hint="default" w:ascii="Times New Roman" w:hAnsi="Times New Roman" w:eastAsia="宋体" w:cs="Times New Roman"/>
          <w:i w:val="0"/>
          <w:caps w:val="0"/>
          <w:spacing w:val="0"/>
          <w:kern w:val="0"/>
          <w:sz w:val="20"/>
          <w:szCs w:val="20"/>
          <w:shd w:val="clear"/>
          <w:lang w:val="en-US" w:eastAsia="zh-CN" w:bidi="ar"/>
        </w:rPr>
        <w:t>’</w:t>
      </w:r>
      <w:r>
        <w:rPr>
          <w:rFonts w:hint="eastAsia" w:ascii="Times New Roman" w:hAnsi="Times New Roman" w:eastAsia="宋体" w:cs="Times New Roman"/>
          <w:i w:val="0"/>
          <w:caps w:val="0"/>
          <w:spacing w:val="0"/>
          <w:kern w:val="0"/>
          <w:sz w:val="20"/>
          <w:szCs w:val="20"/>
          <w:shd w:val="clear"/>
          <w:lang w:val="en-US" w:eastAsia="zh-CN" w:bidi="ar"/>
        </w:rPr>
        <w:t xml:space="preserve">s </w:t>
      </w:r>
      <w:r>
        <w:rPr>
          <w:rFonts w:hint="default" w:ascii="Times New Roman" w:hAnsi="Times New Roman" w:eastAsia="宋体" w:cs="Times New Roman"/>
          <w:i w:val="0"/>
          <w:caps w:val="0"/>
          <w:spacing w:val="0"/>
          <w:kern w:val="0"/>
          <w:sz w:val="20"/>
          <w:szCs w:val="20"/>
          <w:shd w:val="clear"/>
          <w:lang w:val="en-US" w:eastAsia="zh-CN" w:bidi="ar"/>
        </w:rPr>
        <w:t xml:space="preserve">Note: The objectives </w:t>
      </w:r>
      <w:r>
        <w:rPr>
          <w:rFonts w:hint="eastAsia" w:ascii="Times New Roman" w:hAnsi="Times New Roman" w:eastAsia="宋体" w:cs="Times New Roman"/>
          <w:i w:val="0"/>
          <w:caps w:val="0"/>
          <w:spacing w:val="0"/>
          <w:kern w:val="0"/>
          <w:sz w:val="20"/>
          <w:szCs w:val="20"/>
          <w:shd w:val="clear"/>
          <w:lang w:val="en-US" w:eastAsia="zh-CN" w:bidi="ar"/>
        </w:rPr>
        <w:t xml:space="preserve">and any other involved working groups </w:t>
      </w:r>
      <w:r>
        <w:rPr>
          <w:rFonts w:hint="default" w:ascii="Times New Roman" w:hAnsi="Times New Roman" w:eastAsia="宋体" w:cs="Times New Roman"/>
          <w:i w:val="0"/>
          <w:caps w:val="0"/>
          <w:spacing w:val="0"/>
          <w:kern w:val="0"/>
          <w:sz w:val="20"/>
          <w:szCs w:val="20"/>
          <w:shd w:val="clear"/>
          <w:lang w:val="en-US" w:eastAsia="zh-CN" w:bidi="ar"/>
        </w:rPr>
        <w:t>are subject to further refinement when the Rel-17 SI is completed</w:t>
      </w:r>
      <w:r>
        <w:rPr>
          <w:rFonts w:hint="eastAsia" w:ascii="Times New Roman" w:hAnsi="Times New Roman" w:eastAsia="宋体" w:cs="Times New Roman"/>
          <w:i w:val="0"/>
          <w:caps w:val="0"/>
          <w:spacing w:val="0"/>
          <w:kern w:val="0"/>
          <w:sz w:val="20"/>
          <w:szCs w:val="20"/>
          <w:shd w:val="clear"/>
          <w:lang w:val="en-US" w:eastAsia="zh-CN" w:bidi="ar"/>
        </w:rPr>
        <w:t>.</w:t>
      </w:r>
    </w:p>
    <w:p>
      <w:pPr>
        <w:ind w:left="720" w:right="-99"/>
        <w:rPr>
          <w:bCs/>
          <w:lang w:val="en-US" w:eastAsia="zh-CN"/>
        </w:rPr>
      </w:pPr>
    </w:p>
    <w:p>
      <w:pPr>
        <w:pStyle w:val="4"/>
        <w:rPr>
          <w:bCs/>
          <w:color w:val="0000FF"/>
          <w:lang w:val="en-US" w:eastAsia="zh-CN"/>
        </w:rPr>
      </w:pPr>
      <w:r>
        <w:rPr>
          <w:color w:val="0000FF"/>
        </w:rPr>
        <w:t>4.2</w:t>
      </w:r>
      <w:r>
        <w:rPr>
          <w:color w:val="0000FF"/>
        </w:rPr>
        <w:tab/>
      </w:r>
      <w:r>
        <w:rPr>
          <w:color w:val="0000FF"/>
        </w:rPr>
        <w:t>Ob</w:t>
      </w:r>
      <w:r>
        <w:rPr>
          <w:bCs/>
          <w:color w:val="0000FF"/>
          <w:lang w:eastAsia="zh-CN"/>
        </w:rPr>
        <w:t>jective of Performance part WI</w:t>
      </w:r>
    </w:p>
    <w:p>
      <w:pPr>
        <w:pStyle w:val="67"/>
        <w:rPr>
          <w:bCs/>
          <w:color w:val="0000FF"/>
          <w:lang w:eastAsia="zh-CN"/>
        </w:rPr>
      </w:pPr>
      <w:r>
        <w:rPr>
          <w:bCs/>
          <w:color w:val="0000FF"/>
          <w:lang w:eastAsia="zh-CN"/>
        </w:rPr>
        <w:t>NOTE:</w:t>
      </w:r>
      <w:r>
        <w:rPr>
          <w:bCs/>
          <w:color w:val="0000FF"/>
          <w:lang w:eastAsia="zh-CN"/>
        </w:rPr>
        <w:tab/>
      </w:r>
      <w:r>
        <w:rPr>
          <w:bCs/>
          <w:color w:val="0000FF"/>
          <w:lang w:eastAsia="zh-CN"/>
        </w:rPr>
        <w:t>Leave empty if the WI proposal does not contain a RAN performance part.</w:t>
      </w:r>
    </w:p>
    <w:p>
      <w:pPr>
        <w:spacing w:after="0"/>
        <w:rPr>
          <w:bCs/>
          <w:i/>
          <w:lang w:eastAsia="zh-CN"/>
        </w:rPr>
      </w:pPr>
    </w:p>
    <w:p>
      <w:pPr>
        <w:spacing w:after="0"/>
        <w:rPr>
          <w:bCs/>
          <w:i/>
          <w:lang w:eastAsia="zh-CN"/>
        </w:rPr>
      </w:pPr>
    </w:p>
    <w:p>
      <w:pPr>
        <w:pStyle w:val="4"/>
        <w:rPr>
          <w:color w:val="0000FF"/>
        </w:rPr>
      </w:pPr>
      <w:r>
        <w:rPr>
          <w:bCs/>
          <w:color w:val="0000FF"/>
          <w:lang w:eastAsia="zh-CN"/>
        </w:rPr>
        <w:t>4.3</w:t>
      </w:r>
      <w:r>
        <w:rPr>
          <w:bCs/>
          <w:color w:val="0000FF"/>
          <w:lang w:eastAsia="zh-CN"/>
        </w:rPr>
        <w:tab/>
      </w:r>
      <w:r>
        <w:rPr>
          <w:bCs/>
          <w:color w:val="0000FF"/>
          <w:lang w:eastAsia="zh-CN"/>
        </w:rPr>
        <w:t>RAN time budget reques</w:t>
      </w:r>
      <w:r>
        <w:rPr>
          <w:bCs/>
          <w:color w:val="0000FF"/>
        </w:rPr>
        <w:t>t</w:t>
      </w:r>
      <w:r>
        <w:rPr>
          <w:color w:val="0000FF"/>
        </w:rPr>
        <w:t xml:space="preserve"> (not applicable to RAN5 WIs/SIs)</w:t>
      </w:r>
    </w:p>
    <w:p>
      <w:pPr>
        <w:pStyle w:val="67"/>
        <w:rPr>
          <w:color w:val="0000FF"/>
        </w:rPr>
      </w:pPr>
      <w:r>
        <w:rPr>
          <w:color w:val="0000FF"/>
        </w:rPr>
        <w:t>NOTE:</w:t>
      </w:r>
      <w:r>
        <w:rPr>
          <w:color w:val="0000FF"/>
        </w:rPr>
        <w:tab/>
      </w:r>
      <w:r>
        <w:rPr>
          <w:color w:val="0000FF"/>
        </w:rPr>
        <w:t xml:space="preserve">For </w:t>
      </w:r>
      <w:r>
        <w:rPr>
          <w:color w:val="0000FF"/>
          <w:u w:val="single"/>
        </w:rPr>
        <w:t>all</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leave the field empty otherwise enter a number in the field.</w:t>
      </w:r>
    </w:p>
    <w:p>
      <w:pPr>
        <w:pStyle w:val="67"/>
        <w:rPr>
          <w:color w:val="0000FF"/>
        </w:rPr>
      </w:pPr>
      <w:r>
        <w:rPr>
          <w:color w:val="0000FF"/>
        </w:rPr>
        <w:tab/>
      </w:r>
      <w:r>
        <w:rPr>
          <w:color w:val="0000FF"/>
        </w:rPr>
        <w:t>For revisions of already approved WI/SI descriptions: Please remove the Excel table from the WID/SID's zip file. The time budgets are already recorded. If you want to modify them, then this has to be done via the status report and not via a revised WID/SID.</w:t>
      </w:r>
    </w:p>
    <w:p>
      <w:pPr>
        <w:pStyle w:val="67"/>
        <w:rPr>
          <w:color w:val="0000FF"/>
        </w:rPr>
      </w:pPr>
      <w:r>
        <w:rPr>
          <w:color w:val="0000FF"/>
        </w:rPr>
        <w:tab/>
      </w:r>
      <w:r>
        <w:rPr>
          <w:color w:val="0000FF"/>
        </w:rPr>
        <w:t>If this WID is covering Core and Performance part, then please fill out one line for each of them in the attached Excel table.</w:t>
      </w:r>
    </w:p>
    <w:p>
      <w:pPr>
        <w:ind w:right="-99"/>
        <w:rPr>
          <w:b/>
          <w:bCs/>
          <w:color w:val="0000FF"/>
          <w:lang w:eastAsia="zh-CN"/>
        </w:rPr>
      </w:pPr>
      <w:r>
        <w:rPr>
          <w:b/>
          <w:bCs/>
          <w:color w:val="0000FF"/>
        </w:rPr>
        <w:t>additional comments to the time budget request in the attached Excel table:</w:t>
      </w:r>
    </w:p>
    <w:p>
      <w:pPr>
        <w:spacing w:after="0"/>
        <w:rPr>
          <w:i/>
        </w:rPr>
      </w:pPr>
    </w:p>
    <w:p>
      <w:pPr>
        <w:pStyle w:val="3"/>
      </w:pPr>
      <w:r>
        <w:t>5</w:t>
      </w:r>
      <w:r>
        <w:tab/>
      </w:r>
      <w:r>
        <w:t>Expected Output and Time scale</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1"/>
        <w:gridCol w:w="1418"/>
        <w:gridCol w:w="3056"/>
        <w:gridCol w:w="993"/>
        <w:gridCol w:w="1275"/>
        <w:gridCol w:w="14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gridSpan w:val="6"/>
            <w:shd w:val="clear" w:color="auto" w:fill="D9D9D9"/>
            <w:tcMar>
              <w:left w:w="57" w:type="dxa"/>
              <w:right w:w="57" w:type="dxa"/>
            </w:tcMar>
            <w:vAlign w:val="center"/>
          </w:tcPr>
          <w:p>
            <w:pPr>
              <w:pStyle w:val="58"/>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1" w:type="dxa"/>
            <w:shd w:val="clear" w:color="auto" w:fill="D9D9D9"/>
            <w:tcMar>
              <w:left w:w="57" w:type="dxa"/>
              <w:right w:w="57" w:type="dxa"/>
            </w:tcMar>
            <w:vAlign w:val="center"/>
          </w:tcPr>
          <w:p>
            <w:pPr>
              <w:pStyle w:val="58"/>
              <w:ind w:right="-99"/>
            </w:pPr>
            <w:r>
              <w:rPr>
                <w:sz w:val="16"/>
                <w:szCs w:val="16"/>
              </w:rPr>
              <w:t>Proposed Spec no. or series</w:t>
            </w:r>
          </w:p>
        </w:tc>
        <w:tc>
          <w:tcPr>
            <w:tcW w:w="1418" w:type="dxa"/>
            <w:shd w:val="clear" w:color="auto" w:fill="D9D9D9"/>
            <w:tcMar>
              <w:left w:w="57" w:type="dxa"/>
              <w:right w:w="57" w:type="dxa"/>
            </w:tcMar>
            <w:vAlign w:val="center"/>
          </w:tcPr>
          <w:p>
            <w:pPr>
              <w:spacing w:after="0"/>
              <w:ind w:right="-99"/>
            </w:pPr>
            <w:r>
              <w:rPr>
                <w:rFonts w:ascii="Arial" w:hAnsi="Arial"/>
                <w:sz w:val="16"/>
                <w:szCs w:val="16"/>
              </w:rPr>
              <w:t xml:space="preserve">Type (see note 1) </w:t>
            </w:r>
          </w:p>
        </w:tc>
        <w:tc>
          <w:tcPr>
            <w:tcW w:w="3056"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275"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1480"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1" w:type="dxa"/>
            <w:shd w:val="clear" w:color="auto" w:fill="FFFFFF" w:themeFill="background1"/>
            <w:tcMar>
              <w:left w:w="57" w:type="dxa"/>
              <w:right w:w="57" w:type="dxa"/>
            </w:tcMar>
            <w:vAlign w:val="center"/>
          </w:tcPr>
          <w:p>
            <w:pPr>
              <w:pStyle w:val="58"/>
              <w:ind w:right="-99"/>
              <w:rPr>
                <w:sz w:val="16"/>
                <w:szCs w:val="16"/>
              </w:rPr>
            </w:pPr>
          </w:p>
        </w:tc>
        <w:tc>
          <w:tcPr>
            <w:tcW w:w="1418" w:type="dxa"/>
            <w:shd w:val="clear" w:color="auto" w:fill="FFFFFF" w:themeFill="background1"/>
            <w:tcMar>
              <w:left w:w="57" w:type="dxa"/>
              <w:right w:w="57" w:type="dxa"/>
            </w:tcMar>
            <w:vAlign w:val="center"/>
          </w:tcPr>
          <w:p>
            <w:pPr>
              <w:spacing w:after="0"/>
              <w:ind w:right="-99"/>
              <w:rPr>
                <w:rFonts w:ascii="Arial" w:hAnsi="Arial"/>
                <w:sz w:val="16"/>
                <w:szCs w:val="16"/>
              </w:rPr>
            </w:pPr>
          </w:p>
        </w:tc>
        <w:tc>
          <w:tcPr>
            <w:tcW w:w="3056" w:type="dxa"/>
            <w:shd w:val="clear" w:color="auto" w:fill="FFFFFF" w:themeFill="background1"/>
            <w:tcMar>
              <w:left w:w="57" w:type="dxa"/>
              <w:right w:w="57" w:type="dxa"/>
            </w:tcMar>
            <w:vAlign w:val="center"/>
          </w:tcPr>
          <w:p>
            <w:pPr>
              <w:spacing w:after="0"/>
              <w:ind w:right="-99"/>
              <w:rPr>
                <w:rFonts w:ascii="Arial" w:hAnsi="Arial"/>
                <w:sz w:val="16"/>
                <w:szCs w:val="16"/>
              </w:rPr>
            </w:pPr>
          </w:p>
        </w:tc>
        <w:tc>
          <w:tcPr>
            <w:tcW w:w="993" w:type="dxa"/>
            <w:shd w:val="clear" w:color="auto" w:fill="FFFFFF" w:themeFill="background1"/>
            <w:tcMar>
              <w:left w:w="57" w:type="dxa"/>
              <w:right w:w="57" w:type="dxa"/>
            </w:tcMar>
            <w:vAlign w:val="center"/>
          </w:tcPr>
          <w:p>
            <w:pPr>
              <w:spacing w:after="0"/>
              <w:ind w:right="-99"/>
              <w:rPr>
                <w:rFonts w:ascii="Arial" w:hAnsi="Arial"/>
                <w:sz w:val="16"/>
                <w:szCs w:val="16"/>
              </w:rPr>
            </w:pPr>
          </w:p>
        </w:tc>
        <w:tc>
          <w:tcPr>
            <w:tcW w:w="1275" w:type="dxa"/>
            <w:shd w:val="clear" w:color="auto" w:fill="FFFFFF" w:themeFill="background1"/>
            <w:tcMar>
              <w:left w:w="57" w:type="dxa"/>
              <w:right w:w="57" w:type="dxa"/>
            </w:tcMar>
            <w:vAlign w:val="center"/>
          </w:tcPr>
          <w:p>
            <w:pPr>
              <w:spacing w:after="0"/>
              <w:ind w:right="-99"/>
              <w:rPr>
                <w:rFonts w:ascii="Arial" w:hAnsi="Arial"/>
                <w:sz w:val="16"/>
                <w:szCs w:val="16"/>
              </w:rPr>
            </w:pPr>
          </w:p>
        </w:tc>
        <w:tc>
          <w:tcPr>
            <w:tcW w:w="1480" w:type="dxa"/>
            <w:shd w:val="clear" w:color="auto" w:fill="FFFFFF" w:themeFill="background1"/>
            <w:tcMar>
              <w:left w:w="57" w:type="dxa"/>
              <w:right w:w="57" w:type="dxa"/>
            </w:tcMar>
            <w:vAlign w:val="center"/>
          </w:tcPr>
          <w:p>
            <w:pPr>
              <w:spacing w:after="0"/>
              <w:ind w:right="-99"/>
              <w:rPr>
                <w:rFonts w:ascii="Arial" w:hAnsi="Arial"/>
                <w:sz w:val="16"/>
                <w:szCs w:val="16"/>
              </w:rPr>
            </w:pPr>
          </w:p>
        </w:tc>
      </w:tr>
    </w:tbl>
    <w:p>
      <w:pPr>
        <w:pStyle w:val="67"/>
        <w:spacing w:before="120"/>
        <w:rPr>
          <w:color w:val="0000FF"/>
        </w:rPr>
      </w:pPr>
      <w:r>
        <w:rPr>
          <w:color w:val="0000FF"/>
        </w:rPr>
        <w:t>NOTE:</w:t>
      </w:r>
      <w:r>
        <w:rPr>
          <w:color w:val="0000FF"/>
        </w:rPr>
        <w:tab/>
      </w:r>
      <w:r>
        <w:rPr>
          <w:color w:val="0000FF"/>
        </w:rPr>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By default a new specs can only be new for one of both parts.</w:t>
      </w:r>
    </w:p>
    <w:p>
      <w:pPr>
        <w:pStyle w:val="67"/>
      </w:pPr>
    </w:p>
    <w:tbl>
      <w:tblPr>
        <w:tblStyle w:val="46"/>
        <w:tblW w:w="0" w:type="auto"/>
        <w:jc w:val="center"/>
        <w:tblLayout w:type="fixed"/>
        <w:tblCellMar>
          <w:top w:w="0" w:type="dxa"/>
          <w:left w:w="28" w:type="dxa"/>
          <w:bottom w:w="0" w:type="dxa"/>
          <w:right w:w="28" w:type="dxa"/>
        </w:tblCellMar>
      </w:tblPr>
      <w:tblGrid>
        <w:gridCol w:w="854"/>
        <w:gridCol w:w="4309"/>
        <w:gridCol w:w="960"/>
        <w:gridCol w:w="2653"/>
      </w:tblGrid>
      <w:tr>
        <w:tblPrEx>
          <w:tblCellMar>
            <w:top w:w="0" w:type="dxa"/>
            <w:left w:w="28" w:type="dxa"/>
            <w:bottom w:w="0" w:type="dxa"/>
            <w:right w:w="28" w:type="dxa"/>
          </w:tblCellMar>
        </w:tblPrEx>
        <w:trPr>
          <w:cantSplit/>
          <w:jc w:val="center"/>
        </w:trPr>
        <w:tc>
          <w:tcPr>
            <w:tcW w:w="8776"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58"/>
              <w:ind w:right="-99"/>
              <w:jc w:val="center"/>
              <w:rPr>
                <w:sz w:val="16"/>
                <w:szCs w:val="16"/>
              </w:rPr>
            </w:pPr>
            <w:r>
              <w:rPr>
                <w:b/>
                <w:sz w:val="16"/>
                <w:szCs w:val="16"/>
              </w:rPr>
              <w:t xml:space="preserve">Impacted existing TS/TR </w:t>
            </w:r>
            <w:r>
              <w:rPr>
                <w:i/>
                <w:sz w:val="16"/>
                <w:szCs w:val="16"/>
              </w:rPr>
              <w:t>{One line per specification. Create/delete lines as needed}</w:t>
            </w:r>
          </w:p>
        </w:tc>
      </w:tr>
      <w:tr>
        <w:tblPrEx>
          <w:tblCellMar>
            <w:top w:w="0" w:type="dxa"/>
            <w:left w:w="28" w:type="dxa"/>
            <w:bottom w:w="0" w:type="dxa"/>
            <w:right w:w="28" w:type="dxa"/>
          </w:tblCellMar>
        </w:tblPrEx>
        <w:trPr>
          <w:cantSplit/>
          <w:jc w:val="center"/>
        </w:trPr>
        <w:tc>
          <w:tcPr>
            <w:tcW w:w="854"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8"/>
              <w:ind w:right="-99"/>
              <w:rPr>
                <w:sz w:val="16"/>
                <w:szCs w:val="16"/>
              </w:rPr>
            </w:pPr>
            <w:r>
              <w:rPr>
                <w:sz w:val="16"/>
                <w:szCs w:val="16"/>
              </w:rPr>
              <w:t>TS/TR No.</w:t>
            </w:r>
          </w:p>
        </w:tc>
        <w:tc>
          <w:tcPr>
            <w:tcW w:w="4309"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960"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8"/>
              <w:ind w:right="-99"/>
              <w:rPr>
                <w:sz w:val="16"/>
                <w:szCs w:val="16"/>
              </w:rPr>
            </w:pPr>
            <w:r>
              <w:rPr>
                <w:sz w:val="16"/>
                <w:szCs w:val="16"/>
              </w:rPr>
              <w:t>Target completion plenary#</w:t>
            </w:r>
          </w:p>
        </w:tc>
        <w:tc>
          <w:tcPr>
            <w:tcW w:w="2653"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8"/>
              <w:ind w:right="-99"/>
              <w:rPr>
                <w:sz w:val="16"/>
                <w:szCs w:val="16"/>
              </w:rPr>
            </w:pPr>
            <w:r>
              <w:rPr>
                <w:sz w:val="16"/>
                <w:szCs w:val="16"/>
              </w:rPr>
              <w:t>Remarks</w:t>
            </w:r>
          </w:p>
        </w:tc>
      </w:tr>
      <w:tr>
        <w:tblPrEx>
          <w:tblCellMar>
            <w:top w:w="0" w:type="dxa"/>
            <w:left w:w="28" w:type="dxa"/>
            <w:bottom w:w="0" w:type="dxa"/>
            <w:right w:w="28" w:type="dxa"/>
          </w:tblCellMar>
        </w:tblPrEx>
        <w:trPr>
          <w:cantSplit/>
          <w:jc w:val="center"/>
        </w:trPr>
        <w:tc>
          <w:tcPr>
            <w:tcW w:w="854" w:type="dxa"/>
            <w:tcBorders>
              <w:top w:val="single" w:color="auto" w:sz="4" w:space="0"/>
              <w:left w:val="single" w:color="auto" w:sz="4" w:space="0"/>
              <w:bottom w:val="single" w:color="auto" w:sz="4" w:space="0"/>
              <w:right w:val="single" w:color="auto" w:sz="4" w:space="0"/>
            </w:tcBorders>
          </w:tcPr>
          <w:p>
            <w:pPr>
              <w:spacing w:after="0"/>
              <w:rPr>
                <w:i/>
                <w:lang w:eastAsia="zh-CN"/>
              </w:rPr>
            </w:pPr>
          </w:p>
        </w:tc>
        <w:tc>
          <w:tcPr>
            <w:tcW w:w="4309" w:type="dxa"/>
            <w:tcBorders>
              <w:top w:val="single" w:color="auto" w:sz="4" w:space="0"/>
              <w:left w:val="single" w:color="auto" w:sz="4" w:space="0"/>
              <w:bottom w:val="single" w:color="auto" w:sz="4" w:space="0"/>
              <w:right w:val="single" w:color="auto" w:sz="4" w:space="0"/>
            </w:tcBorders>
          </w:tcPr>
          <w:p>
            <w:pPr>
              <w:spacing w:after="0"/>
              <w:rPr>
                <w:i/>
                <w:lang w:eastAsia="zh-CN"/>
              </w:rPr>
            </w:pPr>
          </w:p>
        </w:tc>
        <w:tc>
          <w:tcPr>
            <w:tcW w:w="960" w:type="dxa"/>
            <w:tcBorders>
              <w:top w:val="single" w:color="auto" w:sz="4" w:space="0"/>
              <w:left w:val="single" w:color="auto" w:sz="4" w:space="0"/>
              <w:bottom w:val="single" w:color="auto" w:sz="4" w:space="0"/>
              <w:right w:val="single" w:color="auto" w:sz="4" w:space="0"/>
            </w:tcBorders>
          </w:tcPr>
          <w:p>
            <w:pPr>
              <w:spacing w:after="0"/>
              <w:rPr>
                <w:i/>
                <w:lang w:eastAsia="zh-CN"/>
              </w:rPr>
            </w:pPr>
          </w:p>
        </w:tc>
        <w:tc>
          <w:tcPr>
            <w:tcW w:w="2653" w:type="dxa"/>
            <w:tcBorders>
              <w:top w:val="single" w:color="auto" w:sz="4" w:space="0"/>
              <w:left w:val="single" w:color="auto" w:sz="4" w:space="0"/>
              <w:bottom w:val="single" w:color="auto" w:sz="4" w:space="0"/>
              <w:right w:val="single" w:color="auto" w:sz="4" w:space="0"/>
            </w:tcBorders>
          </w:tcPr>
          <w:p>
            <w:pPr>
              <w:spacing w:after="0"/>
              <w:rPr>
                <w:i/>
              </w:rPr>
            </w:pPr>
          </w:p>
        </w:tc>
      </w:tr>
      <w:tr>
        <w:tblPrEx>
          <w:tblCellMar>
            <w:top w:w="0" w:type="dxa"/>
            <w:left w:w="28" w:type="dxa"/>
            <w:bottom w:w="0" w:type="dxa"/>
            <w:right w:w="28" w:type="dxa"/>
          </w:tblCellMar>
        </w:tblPrEx>
        <w:trPr>
          <w:cantSplit/>
          <w:jc w:val="center"/>
        </w:trPr>
        <w:tc>
          <w:tcPr>
            <w:tcW w:w="854" w:type="dxa"/>
            <w:tcBorders>
              <w:top w:val="single" w:color="auto" w:sz="4" w:space="0"/>
              <w:left w:val="single" w:color="auto" w:sz="4" w:space="0"/>
              <w:bottom w:val="single" w:color="auto" w:sz="4" w:space="0"/>
              <w:right w:val="single" w:color="auto" w:sz="4" w:space="0"/>
            </w:tcBorders>
          </w:tcPr>
          <w:p>
            <w:pPr>
              <w:spacing w:after="0"/>
              <w:rPr>
                <w:i/>
                <w:lang w:eastAsia="zh-CN"/>
              </w:rPr>
            </w:pPr>
          </w:p>
        </w:tc>
        <w:tc>
          <w:tcPr>
            <w:tcW w:w="4309" w:type="dxa"/>
            <w:tcBorders>
              <w:top w:val="single" w:color="auto" w:sz="4" w:space="0"/>
              <w:left w:val="single" w:color="auto" w:sz="4" w:space="0"/>
              <w:bottom w:val="single" w:color="auto" w:sz="4" w:space="0"/>
              <w:right w:val="single" w:color="auto" w:sz="4" w:space="0"/>
            </w:tcBorders>
          </w:tcPr>
          <w:p>
            <w:pPr>
              <w:spacing w:after="0"/>
              <w:rPr>
                <w:i/>
                <w:lang w:eastAsia="zh-CN"/>
              </w:rPr>
            </w:pPr>
          </w:p>
        </w:tc>
        <w:tc>
          <w:tcPr>
            <w:tcW w:w="960" w:type="dxa"/>
            <w:tcBorders>
              <w:top w:val="single" w:color="auto" w:sz="4" w:space="0"/>
              <w:left w:val="single" w:color="auto" w:sz="4" w:space="0"/>
              <w:bottom w:val="single" w:color="auto" w:sz="4" w:space="0"/>
              <w:right w:val="single" w:color="auto" w:sz="4" w:space="0"/>
            </w:tcBorders>
          </w:tcPr>
          <w:p>
            <w:pPr>
              <w:spacing w:after="0"/>
              <w:rPr>
                <w:i/>
                <w:lang w:eastAsia="zh-CN"/>
              </w:rPr>
            </w:pPr>
          </w:p>
        </w:tc>
        <w:tc>
          <w:tcPr>
            <w:tcW w:w="2653" w:type="dxa"/>
            <w:tcBorders>
              <w:top w:val="single" w:color="auto" w:sz="4" w:space="0"/>
              <w:left w:val="single" w:color="auto" w:sz="4" w:space="0"/>
              <w:bottom w:val="single" w:color="auto" w:sz="4" w:space="0"/>
              <w:right w:val="single" w:color="auto" w:sz="4" w:space="0"/>
            </w:tcBorders>
          </w:tcPr>
          <w:p>
            <w:pPr>
              <w:spacing w:after="0"/>
              <w:rPr>
                <w:i/>
              </w:rPr>
            </w:pPr>
          </w:p>
        </w:tc>
      </w:tr>
      <w:tr>
        <w:tblPrEx>
          <w:tblCellMar>
            <w:top w:w="0" w:type="dxa"/>
            <w:left w:w="28" w:type="dxa"/>
            <w:bottom w:w="0" w:type="dxa"/>
            <w:right w:w="28" w:type="dxa"/>
          </w:tblCellMar>
        </w:tblPrEx>
        <w:trPr>
          <w:cantSplit/>
          <w:jc w:val="center"/>
        </w:trPr>
        <w:tc>
          <w:tcPr>
            <w:tcW w:w="854" w:type="dxa"/>
            <w:tcBorders>
              <w:top w:val="single" w:color="auto" w:sz="4" w:space="0"/>
              <w:left w:val="single" w:color="auto" w:sz="4" w:space="0"/>
              <w:bottom w:val="single" w:color="auto" w:sz="4" w:space="0"/>
              <w:right w:val="single" w:color="auto" w:sz="4" w:space="0"/>
            </w:tcBorders>
          </w:tcPr>
          <w:p>
            <w:pPr>
              <w:spacing w:after="0"/>
              <w:rPr>
                <w:rFonts w:hint="default" w:eastAsia="宋体"/>
                <w:i/>
                <w:lang w:val="en-US" w:eastAsia="zh-CN"/>
              </w:rPr>
            </w:pPr>
          </w:p>
        </w:tc>
        <w:tc>
          <w:tcPr>
            <w:tcW w:w="4309" w:type="dxa"/>
            <w:tcBorders>
              <w:top w:val="single" w:color="auto" w:sz="4" w:space="0"/>
              <w:left w:val="single" w:color="auto" w:sz="4" w:space="0"/>
              <w:bottom w:val="single" w:color="auto" w:sz="4" w:space="0"/>
              <w:right w:val="single" w:color="auto" w:sz="4" w:space="0"/>
            </w:tcBorders>
          </w:tcPr>
          <w:p>
            <w:pPr>
              <w:spacing w:after="0"/>
              <w:rPr>
                <w:i/>
              </w:rPr>
            </w:pPr>
          </w:p>
        </w:tc>
        <w:tc>
          <w:tcPr>
            <w:tcW w:w="960" w:type="dxa"/>
            <w:tcBorders>
              <w:top w:val="single" w:color="auto" w:sz="4" w:space="0"/>
              <w:left w:val="single" w:color="auto" w:sz="4" w:space="0"/>
              <w:bottom w:val="single" w:color="auto" w:sz="4" w:space="0"/>
              <w:right w:val="single" w:color="auto" w:sz="4" w:space="0"/>
            </w:tcBorders>
          </w:tcPr>
          <w:p>
            <w:pPr>
              <w:spacing w:after="0"/>
              <w:rPr>
                <w:i/>
                <w:lang w:eastAsia="zh-CN"/>
              </w:rPr>
            </w:pPr>
          </w:p>
        </w:tc>
        <w:tc>
          <w:tcPr>
            <w:tcW w:w="2653" w:type="dxa"/>
            <w:tcBorders>
              <w:top w:val="single" w:color="auto" w:sz="4" w:space="0"/>
              <w:left w:val="single" w:color="auto" w:sz="4" w:space="0"/>
              <w:bottom w:val="single" w:color="auto" w:sz="4" w:space="0"/>
              <w:right w:val="single" w:color="auto" w:sz="4" w:space="0"/>
            </w:tcBorders>
          </w:tcPr>
          <w:p>
            <w:pPr>
              <w:spacing w:after="0"/>
            </w:pPr>
          </w:p>
        </w:tc>
      </w:tr>
      <w:tr>
        <w:tblPrEx>
          <w:tblCellMar>
            <w:top w:w="0" w:type="dxa"/>
            <w:left w:w="28" w:type="dxa"/>
            <w:bottom w:w="0" w:type="dxa"/>
            <w:right w:w="28" w:type="dxa"/>
          </w:tblCellMar>
        </w:tblPrEx>
        <w:trPr>
          <w:cantSplit/>
          <w:jc w:val="center"/>
        </w:trPr>
        <w:tc>
          <w:tcPr>
            <w:tcW w:w="854" w:type="dxa"/>
            <w:tcBorders>
              <w:top w:val="single" w:color="auto" w:sz="4" w:space="0"/>
              <w:left w:val="single" w:color="auto" w:sz="4" w:space="0"/>
              <w:bottom w:val="single" w:color="auto" w:sz="4" w:space="0"/>
              <w:right w:val="single" w:color="auto" w:sz="4" w:space="0"/>
            </w:tcBorders>
          </w:tcPr>
          <w:p>
            <w:pPr>
              <w:spacing w:after="0"/>
              <w:rPr>
                <w:i/>
                <w:lang w:eastAsia="zh-CN"/>
              </w:rPr>
            </w:pPr>
          </w:p>
        </w:tc>
        <w:tc>
          <w:tcPr>
            <w:tcW w:w="4309" w:type="dxa"/>
            <w:tcBorders>
              <w:top w:val="single" w:color="auto" w:sz="4" w:space="0"/>
              <w:left w:val="single" w:color="auto" w:sz="4" w:space="0"/>
              <w:bottom w:val="single" w:color="auto" w:sz="4" w:space="0"/>
              <w:right w:val="single" w:color="auto" w:sz="4" w:space="0"/>
            </w:tcBorders>
          </w:tcPr>
          <w:p>
            <w:pPr>
              <w:spacing w:after="0"/>
              <w:rPr>
                <w:i/>
                <w:lang w:eastAsia="zh-CN"/>
              </w:rPr>
            </w:pPr>
          </w:p>
        </w:tc>
        <w:tc>
          <w:tcPr>
            <w:tcW w:w="960" w:type="dxa"/>
            <w:tcBorders>
              <w:top w:val="single" w:color="auto" w:sz="4" w:space="0"/>
              <w:left w:val="single" w:color="auto" w:sz="4" w:space="0"/>
              <w:bottom w:val="single" w:color="auto" w:sz="4" w:space="0"/>
              <w:right w:val="single" w:color="auto" w:sz="4" w:space="0"/>
            </w:tcBorders>
          </w:tcPr>
          <w:p>
            <w:pPr>
              <w:spacing w:after="0"/>
              <w:rPr>
                <w:i/>
                <w:lang w:eastAsia="zh-CN"/>
              </w:rPr>
            </w:pPr>
          </w:p>
        </w:tc>
        <w:tc>
          <w:tcPr>
            <w:tcW w:w="2653" w:type="dxa"/>
            <w:tcBorders>
              <w:top w:val="single" w:color="auto" w:sz="4" w:space="0"/>
              <w:left w:val="single" w:color="auto" w:sz="4" w:space="0"/>
              <w:bottom w:val="single" w:color="auto" w:sz="4" w:space="0"/>
              <w:right w:val="single" w:color="auto" w:sz="4" w:space="0"/>
            </w:tcBorders>
          </w:tcPr>
          <w:p>
            <w:pPr>
              <w:spacing w:after="0"/>
              <w:rPr>
                <w:i/>
              </w:rPr>
            </w:pPr>
          </w:p>
        </w:tc>
      </w:tr>
    </w:tbl>
    <w:p>
      <w:pPr>
        <w:pStyle w:val="67"/>
        <w:spacing w:before="120"/>
        <w:rPr>
          <w:color w:val="0000FF"/>
          <w:lang w:eastAsia="zh-CN"/>
        </w:rPr>
      </w:pPr>
      <w:r>
        <w:rPr>
          <w:color w:val="0000FF"/>
        </w:rPr>
        <w:t>NOTE:</w:t>
      </w:r>
      <w:r>
        <w:rPr>
          <w:color w:val="0000FF"/>
        </w:rPr>
        <w:tab/>
      </w:r>
      <w:r>
        <w:rPr>
          <w:color w:val="0000FF"/>
        </w:rPr>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pPr>
        <w:pStyle w:val="67"/>
        <w:spacing w:before="120"/>
        <w:rPr>
          <w:color w:val="0000FF"/>
          <w:lang w:eastAsia="zh-CN"/>
        </w:rPr>
      </w:pPr>
    </w:p>
    <w:p>
      <w:pPr>
        <w:pStyle w:val="3"/>
        <w:spacing w:before="0" w:after="0"/>
      </w:pPr>
      <w:r>
        <w:t>6</w:t>
      </w:r>
      <w:r>
        <w:tab/>
      </w:r>
      <w:r>
        <w:t>Work item Rapporteur(s)</w:t>
      </w:r>
    </w:p>
    <w:p>
      <w:pPr>
        <w:spacing w:after="0"/>
        <w:ind w:left="1134" w:right="-99"/>
        <w:rPr>
          <w:b/>
          <w:bCs/>
          <w:color w:val="0000FF"/>
          <w:lang w:eastAsia="zh-CN"/>
        </w:rPr>
      </w:pPr>
    </w:p>
    <w:p>
      <w:pPr>
        <w:spacing w:after="0"/>
        <w:ind w:left="1134" w:right="-99"/>
        <w:rPr>
          <w:b/>
          <w:bCs/>
          <w:color w:val="000000"/>
          <w:lang w:eastAsia="zh-CN"/>
        </w:rPr>
      </w:pPr>
      <w:r>
        <w:rPr>
          <w:b/>
          <w:bCs/>
          <w:color w:val="000000"/>
          <w:lang w:eastAsia="zh-CN"/>
        </w:rPr>
        <w:t>XXXXX</w:t>
      </w:r>
    </w:p>
    <w:p>
      <w:pPr>
        <w:spacing w:after="0"/>
        <w:ind w:left="1134" w:right="-99"/>
        <w:rPr>
          <w:b/>
          <w:bCs/>
          <w:color w:val="0000FF"/>
          <w:lang w:eastAsia="zh-CN"/>
        </w:rPr>
      </w:pPr>
    </w:p>
    <w:p>
      <w:pPr>
        <w:spacing w:after="0"/>
        <w:ind w:left="1134" w:right="-99"/>
        <w:rPr>
          <w:b/>
          <w:bCs/>
          <w:color w:val="0000FF"/>
          <w:lang w:eastAsia="zh-CN"/>
        </w:rPr>
      </w:pPr>
    </w:p>
    <w:p>
      <w:pPr>
        <w:spacing w:after="0"/>
        <w:ind w:left="1134" w:right="-99"/>
        <w:rPr>
          <w:b/>
          <w:bCs/>
          <w:color w:val="0000FF"/>
          <w:lang w:eastAsia="zh-CN"/>
        </w:rPr>
      </w:pPr>
    </w:p>
    <w:p>
      <w:pPr>
        <w:pStyle w:val="3"/>
        <w:spacing w:before="0" w:after="0"/>
      </w:pPr>
      <w:r>
        <w:t>7</w:t>
      </w:r>
      <w:r>
        <w:tab/>
      </w:r>
      <w:r>
        <w:t>Work item leadership</w:t>
      </w:r>
    </w:p>
    <w:p>
      <w:pPr>
        <w:spacing w:after="60"/>
        <w:ind w:left="100" w:leftChars="50" w:firstLine="1104" w:firstLineChars="550"/>
        <w:rPr>
          <w:b/>
          <w:lang w:eastAsia="zh-CN"/>
        </w:rPr>
      </w:pPr>
    </w:p>
    <w:p>
      <w:pPr>
        <w:spacing w:after="60"/>
        <w:ind w:left="100" w:leftChars="50" w:firstLine="1104" w:firstLineChars="550"/>
        <w:rPr>
          <w:b/>
        </w:rPr>
      </w:pPr>
      <w:r>
        <w:rPr>
          <w:b/>
        </w:rPr>
        <w:t xml:space="preserve">Responsible </w:t>
      </w:r>
      <w:r>
        <w:rPr>
          <w:b/>
          <w:lang w:val="en-US" w:eastAsia="zh-CN"/>
        </w:rPr>
        <w:t>RAN WG: RAN3</w:t>
      </w:r>
    </w:p>
    <w:p>
      <w:pPr>
        <w:spacing w:after="60"/>
        <w:ind w:left="100" w:leftChars="50" w:firstLine="1104" w:firstLineChars="550"/>
        <w:rPr>
          <w:b/>
          <w:lang w:val="en-US" w:eastAsia="zh-CN"/>
        </w:rPr>
      </w:pPr>
    </w:p>
    <w:p>
      <w:pPr>
        <w:spacing w:after="60"/>
        <w:rPr>
          <w:b/>
          <w:lang w:eastAsia="zh-CN"/>
        </w:rPr>
      </w:pPr>
    </w:p>
    <w:p>
      <w:pPr>
        <w:spacing w:after="60"/>
        <w:ind w:left="100" w:leftChars="50" w:firstLine="1104" w:firstLineChars="550"/>
        <w:rPr>
          <w:b/>
          <w:lang w:eastAsia="zh-CN"/>
        </w:rPr>
      </w:pPr>
    </w:p>
    <w:p>
      <w:pPr>
        <w:pStyle w:val="3"/>
        <w:spacing w:before="0" w:after="0"/>
      </w:pPr>
      <w:r>
        <w:t>8</w:t>
      </w:r>
      <w:r>
        <w:tab/>
      </w:r>
      <w:r>
        <w:t>Aspects that involve other WGs</w:t>
      </w:r>
    </w:p>
    <w:p>
      <w:pPr>
        <w:pStyle w:val="67"/>
        <w:rPr>
          <w:color w:val="0000FF"/>
          <w:lang w:eastAsia="zh-CN"/>
        </w:rPr>
      </w:pPr>
    </w:p>
    <w:p>
      <w:pPr>
        <w:pStyle w:val="67"/>
        <w:rPr>
          <w:lang w:eastAsia="zh-CN"/>
        </w:rPr>
      </w:pPr>
      <w:r>
        <w:rPr>
          <w:color w:val="0000FF"/>
        </w:rPr>
        <w:t>NOTE:</w:t>
      </w:r>
      <w:r>
        <w:rPr>
          <w:color w:val="0000FF"/>
        </w:rPr>
        <w:tab/>
      </w:r>
      <w:r>
        <w:rPr>
          <w:color w:val="0000FF"/>
        </w:rPr>
        <w:t>For RAN WIDs: Section 8 applies only to</w:t>
      </w:r>
      <w:r>
        <w:rPr>
          <w:rFonts w:hint="eastAsia"/>
          <w:color w:val="0000FF"/>
          <w:lang w:val="en-US" w:eastAsia="zh-CN"/>
        </w:rPr>
        <w:t xml:space="preserve"> </w:t>
      </w:r>
      <w:r>
        <w:rPr>
          <w:color w:val="0000FF"/>
        </w:rPr>
        <w:t xml:space="preserve">WGs </w:t>
      </w:r>
      <w:r>
        <w:rPr>
          <w:color w:val="0000FF"/>
          <w:u w:val="single"/>
        </w:rPr>
        <w:t>outside</w:t>
      </w:r>
      <w:r>
        <w:rPr>
          <w:color w:val="0000FF"/>
        </w:rPr>
        <w:t xml:space="preserve"> of TSG RAN because RAN WG aspects have to be covered in section 4.</w:t>
      </w:r>
    </w:p>
    <w:p>
      <w:pPr>
        <w:pStyle w:val="3"/>
        <w:spacing w:before="0"/>
        <w:rPr>
          <w:lang w:eastAsia="zh-CN"/>
        </w:rPr>
      </w:pPr>
      <w:r>
        <w:t>9</w:t>
      </w:r>
      <w:r>
        <w:tab/>
      </w:r>
      <w:r>
        <w:t xml:space="preserve">Supporting Individual Members </w:t>
      </w:r>
    </w:p>
    <w:tbl>
      <w:tblPr>
        <w:tblStyle w:val="4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1" w:type="dxa"/>
            <w:shd w:val="clear" w:color="auto" w:fill="E0E0E0"/>
          </w:tcPr>
          <w:p>
            <w:pPr>
              <w:pStyle w:val="76"/>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1" w:type="dxa"/>
          </w:tcPr>
          <w:p>
            <w:pPr>
              <w:pStyle w:val="58"/>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1" w:type="dxa"/>
          </w:tcPr>
          <w:p>
            <w:pPr>
              <w:pStyle w:val="58"/>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1" w:type="dxa"/>
          </w:tcPr>
          <w:p>
            <w:pPr>
              <w:pStyle w:val="58"/>
            </w:pPr>
          </w:p>
        </w:tc>
      </w:tr>
    </w:tbl>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Tele-Grotesk-Norm">
    <w:altName w:val="Times New Roman"/>
    <w:panose1 w:val="00000000000000000000"/>
    <w:charset w:val="00"/>
    <w:family w:val="roma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0765F"/>
    <w:rsid w:val="000119AC"/>
    <w:rsid w:val="00012AB6"/>
    <w:rsid w:val="000132D1"/>
    <w:rsid w:val="000145E8"/>
    <w:rsid w:val="000205C5"/>
    <w:rsid w:val="00021CCA"/>
    <w:rsid w:val="00024E99"/>
    <w:rsid w:val="00025316"/>
    <w:rsid w:val="00025853"/>
    <w:rsid w:val="00035771"/>
    <w:rsid w:val="00036F5E"/>
    <w:rsid w:val="00037C06"/>
    <w:rsid w:val="00044DAE"/>
    <w:rsid w:val="00052BF8"/>
    <w:rsid w:val="000560C4"/>
    <w:rsid w:val="00057116"/>
    <w:rsid w:val="000639F6"/>
    <w:rsid w:val="00064CB2"/>
    <w:rsid w:val="00066954"/>
    <w:rsid w:val="00067741"/>
    <w:rsid w:val="00086B66"/>
    <w:rsid w:val="000A0F2A"/>
    <w:rsid w:val="000A1483"/>
    <w:rsid w:val="000A1544"/>
    <w:rsid w:val="000A33F3"/>
    <w:rsid w:val="000A7CAA"/>
    <w:rsid w:val="000B0519"/>
    <w:rsid w:val="000B4735"/>
    <w:rsid w:val="000B61E5"/>
    <w:rsid w:val="000B61FD"/>
    <w:rsid w:val="000C0FAD"/>
    <w:rsid w:val="000C2675"/>
    <w:rsid w:val="000C394D"/>
    <w:rsid w:val="000C563C"/>
    <w:rsid w:val="000C5FE3"/>
    <w:rsid w:val="000D122A"/>
    <w:rsid w:val="000D40DA"/>
    <w:rsid w:val="000D7E8B"/>
    <w:rsid w:val="000E13C0"/>
    <w:rsid w:val="000E171F"/>
    <w:rsid w:val="000E55AD"/>
    <w:rsid w:val="000F2B91"/>
    <w:rsid w:val="000F320C"/>
    <w:rsid w:val="00103679"/>
    <w:rsid w:val="00103D75"/>
    <w:rsid w:val="00117A6E"/>
    <w:rsid w:val="00120541"/>
    <w:rsid w:val="001211F3"/>
    <w:rsid w:val="0012184F"/>
    <w:rsid w:val="00122DCB"/>
    <w:rsid w:val="00126555"/>
    <w:rsid w:val="00133C98"/>
    <w:rsid w:val="00136924"/>
    <w:rsid w:val="00141729"/>
    <w:rsid w:val="001433A2"/>
    <w:rsid w:val="001449A5"/>
    <w:rsid w:val="00150279"/>
    <w:rsid w:val="0015583E"/>
    <w:rsid w:val="00155D27"/>
    <w:rsid w:val="00156DC4"/>
    <w:rsid w:val="00165398"/>
    <w:rsid w:val="001701AE"/>
    <w:rsid w:val="00174617"/>
    <w:rsid w:val="001759A7"/>
    <w:rsid w:val="001838E1"/>
    <w:rsid w:val="00193B69"/>
    <w:rsid w:val="001978B7"/>
    <w:rsid w:val="001A11A5"/>
    <w:rsid w:val="001A4192"/>
    <w:rsid w:val="001A56D1"/>
    <w:rsid w:val="001A650D"/>
    <w:rsid w:val="001B0758"/>
    <w:rsid w:val="001B0E1E"/>
    <w:rsid w:val="001B34B2"/>
    <w:rsid w:val="001C3F04"/>
    <w:rsid w:val="001C5C02"/>
    <w:rsid w:val="001C5C86"/>
    <w:rsid w:val="001C67DB"/>
    <w:rsid w:val="001C6FFF"/>
    <w:rsid w:val="001C718D"/>
    <w:rsid w:val="001D0857"/>
    <w:rsid w:val="001D1249"/>
    <w:rsid w:val="001D373B"/>
    <w:rsid w:val="001D5F72"/>
    <w:rsid w:val="001E2D73"/>
    <w:rsid w:val="001E77B8"/>
    <w:rsid w:val="001F2D92"/>
    <w:rsid w:val="001F4498"/>
    <w:rsid w:val="001F59F9"/>
    <w:rsid w:val="001F7EB4"/>
    <w:rsid w:val="002000C2"/>
    <w:rsid w:val="0020076E"/>
    <w:rsid w:val="00200ED6"/>
    <w:rsid w:val="00205F25"/>
    <w:rsid w:val="00213AEF"/>
    <w:rsid w:val="0021561E"/>
    <w:rsid w:val="00216694"/>
    <w:rsid w:val="00216776"/>
    <w:rsid w:val="00221B1E"/>
    <w:rsid w:val="00225082"/>
    <w:rsid w:val="00232709"/>
    <w:rsid w:val="00240DCD"/>
    <w:rsid w:val="00241319"/>
    <w:rsid w:val="002431D3"/>
    <w:rsid w:val="0024786B"/>
    <w:rsid w:val="00251D80"/>
    <w:rsid w:val="002536B6"/>
    <w:rsid w:val="002640E5"/>
    <w:rsid w:val="0026606E"/>
    <w:rsid w:val="00266E7F"/>
    <w:rsid w:val="002702C7"/>
    <w:rsid w:val="00276403"/>
    <w:rsid w:val="00280F11"/>
    <w:rsid w:val="00281CE6"/>
    <w:rsid w:val="00281FC7"/>
    <w:rsid w:val="0028307F"/>
    <w:rsid w:val="0029583E"/>
    <w:rsid w:val="00296F72"/>
    <w:rsid w:val="002A15EB"/>
    <w:rsid w:val="002A5310"/>
    <w:rsid w:val="002A6876"/>
    <w:rsid w:val="002B7226"/>
    <w:rsid w:val="002C2C07"/>
    <w:rsid w:val="002C493E"/>
    <w:rsid w:val="002D2341"/>
    <w:rsid w:val="002D73EF"/>
    <w:rsid w:val="002E0AA6"/>
    <w:rsid w:val="002E0FAD"/>
    <w:rsid w:val="002E21BB"/>
    <w:rsid w:val="002E56C3"/>
    <w:rsid w:val="002E5C36"/>
    <w:rsid w:val="002E6A7D"/>
    <w:rsid w:val="002E6BB0"/>
    <w:rsid w:val="002E7A9E"/>
    <w:rsid w:val="002F210C"/>
    <w:rsid w:val="002F2DD7"/>
    <w:rsid w:val="002F6F94"/>
    <w:rsid w:val="002F7C69"/>
    <w:rsid w:val="0030045C"/>
    <w:rsid w:val="00302A55"/>
    <w:rsid w:val="00302F35"/>
    <w:rsid w:val="00305695"/>
    <w:rsid w:val="00311239"/>
    <w:rsid w:val="00315275"/>
    <w:rsid w:val="0031529D"/>
    <w:rsid w:val="0031611B"/>
    <w:rsid w:val="00320174"/>
    <w:rsid w:val="003205AD"/>
    <w:rsid w:val="0033027D"/>
    <w:rsid w:val="003327CA"/>
    <w:rsid w:val="00333119"/>
    <w:rsid w:val="00335FB2"/>
    <w:rsid w:val="00343DCB"/>
    <w:rsid w:val="00344158"/>
    <w:rsid w:val="00344BF7"/>
    <w:rsid w:val="00346980"/>
    <w:rsid w:val="00347735"/>
    <w:rsid w:val="00354224"/>
    <w:rsid w:val="00355ADA"/>
    <w:rsid w:val="0036333D"/>
    <w:rsid w:val="00365ACD"/>
    <w:rsid w:val="003662A8"/>
    <w:rsid w:val="003703EB"/>
    <w:rsid w:val="00372F1D"/>
    <w:rsid w:val="003733DD"/>
    <w:rsid w:val="00377118"/>
    <w:rsid w:val="00377EC3"/>
    <w:rsid w:val="0038027E"/>
    <w:rsid w:val="00382255"/>
    <w:rsid w:val="00385104"/>
    <w:rsid w:val="0038516D"/>
    <w:rsid w:val="003869D7"/>
    <w:rsid w:val="00391134"/>
    <w:rsid w:val="00391B76"/>
    <w:rsid w:val="00392AFA"/>
    <w:rsid w:val="003934DD"/>
    <w:rsid w:val="003937E4"/>
    <w:rsid w:val="00393899"/>
    <w:rsid w:val="00396439"/>
    <w:rsid w:val="003A0591"/>
    <w:rsid w:val="003A1C6C"/>
    <w:rsid w:val="003A1EB0"/>
    <w:rsid w:val="003A59FB"/>
    <w:rsid w:val="003A7985"/>
    <w:rsid w:val="003B0FE7"/>
    <w:rsid w:val="003B3902"/>
    <w:rsid w:val="003C01E5"/>
    <w:rsid w:val="003C02F5"/>
    <w:rsid w:val="003C060E"/>
    <w:rsid w:val="003C0F14"/>
    <w:rsid w:val="003C66A0"/>
    <w:rsid w:val="003C6DA6"/>
    <w:rsid w:val="003D0AE5"/>
    <w:rsid w:val="003D2A31"/>
    <w:rsid w:val="003D3930"/>
    <w:rsid w:val="003E36F0"/>
    <w:rsid w:val="003F0220"/>
    <w:rsid w:val="003F268E"/>
    <w:rsid w:val="003F5C36"/>
    <w:rsid w:val="003F7B3D"/>
    <w:rsid w:val="004051EE"/>
    <w:rsid w:val="00411698"/>
    <w:rsid w:val="004118F9"/>
    <w:rsid w:val="00411E62"/>
    <w:rsid w:val="004123E3"/>
    <w:rsid w:val="00414164"/>
    <w:rsid w:val="0041789B"/>
    <w:rsid w:val="00424286"/>
    <w:rsid w:val="00424488"/>
    <w:rsid w:val="00425B98"/>
    <w:rsid w:val="004260A5"/>
    <w:rsid w:val="00432283"/>
    <w:rsid w:val="00432FA2"/>
    <w:rsid w:val="0043745F"/>
    <w:rsid w:val="0044029F"/>
    <w:rsid w:val="00446F91"/>
    <w:rsid w:val="0045067E"/>
    <w:rsid w:val="00464153"/>
    <w:rsid w:val="004644C4"/>
    <w:rsid w:val="004735AB"/>
    <w:rsid w:val="00473739"/>
    <w:rsid w:val="004811A5"/>
    <w:rsid w:val="0048267C"/>
    <w:rsid w:val="00484DCE"/>
    <w:rsid w:val="004876B9"/>
    <w:rsid w:val="00493A79"/>
    <w:rsid w:val="0049467D"/>
    <w:rsid w:val="00495063"/>
    <w:rsid w:val="004A40BE"/>
    <w:rsid w:val="004A6A60"/>
    <w:rsid w:val="004B153D"/>
    <w:rsid w:val="004B7BF0"/>
    <w:rsid w:val="004C1BDC"/>
    <w:rsid w:val="004C2AF3"/>
    <w:rsid w:val="004C634D"/>
    <w:rsid w:val="004D0581"/>
    <w:rsid w:val="004D1105"/>
    <w:rsid w:val="004D24B9"/>
    <w:rsid w:val="004D24ED"/>
    <w:rsid w:val="004E2CE2"/>
    <w:rsid w:val="004E5172"/>
    <w:rsid w:val="004E6F8A"/>
    <w:rsid w:val="005008A2"/>
    <w:rsid w:val="00500D38"/>
    <w:rsid w:val="00502CD2"/>
    <w:rsid w:val="005119EB"/>
    <w:rsid w:val="00511CCA"/>
    <w:rsid w:val="00513E72"/>
    <w:rsid w:val="0052201A"/>
    <w:rsid w:val="0052245C"/>
    <w:rsid w:val="00524DFF"/>
    <w:rsid w:val="0052568E"/>
    <w:rsid w:val="00526860"/>
    <w:rsid w:val="00530AAF"/>
    <w:rsid w:val="0053262A"/>
    <w:rsid w:val="00536FCE"/>
    <w:rsid w:val="00537A67"/>
    <w:rsid w:val="005417E5"/>
    <w:rsid w:val="0055037A"/>
    <w:rsid w:val="00552C2C"/>
    <w:rsid w:val="00553A83"/>
    <w:rsid w:val="005555B7"/>
    <w:rsid w:val="00555861"/>
    <w:rsid w:val="005573BB"/>
    <w:rsid w:val="00557B2E"/>
    <w:rsid w:val="00561267"/>
    <w:rsid w:val="00562C2B"/>
    <w:rsid w:val="00565079"/>
    <w:rsid w:val="005705C9"/>
    <w:rsid w:val="00570E96"/>
    <w:rsid w:val="00573046"/>
    <w:rsid w:val="0057397F"/>
    <w:rsid w:val="005739F5"/>
    <w:rsid w:val="00574059"/>
    <w:rsid w:val="0058064C"/>
    <w:rsid w:val="00580A02"/>
    <w:rsid w:val="00590087"/>
    <w:rsid w:val="00597258"/>
    <w:rsid w:val="005975E9"/>
    <w:rsid w:val="005A1B66"/>
    <w:rsid w:val="005A32FD"/>
    <w:rsid w:val="005A4537"/>
    <w:rsid w:val="005A6E38"/>
    <w:rsid w:val="005C1706"/>
    <w:rsid w:val="005C4F58"/>
    <w:rsid w:val="005C5E8D"/>
    <w:rsid w:val="005C6D57"/>
    <w:rsid w:val="005C78F2"/>
    <w:rsid w:val="005D057C"/>
    <w:rsid w:val="005D1160"/>
    <w:rsid w:val="005D1AFA"/>
    <w:rsid w:val="005D3FEC"/>
    <w:rsid w:val="005D44BE"/>
    <w:rsid w:val="005D7D90"/>
    <w:rsid w:val="005E7D94"/>
    <w:rsid w:val="005F1004"/>
    <w:rsid w:val="005F5598"/>
    <w:rsid w:val="006043D2"/>
    <w:rsid w:val="006056CB"/>
    <w:rsid w:val="00606426"/>
    <w:rsid w:val="00611EC4"/>
    <w:rsid w:val="00612542"/>
    <w:rsid w:val="00620B3F"/>
    <w:rsid w:val="006239E7"/>
    <w:rsid w:val="006242F0"/>
    <w:rsid w:val="006418C6"/>
    <w:rsid w:val="00641ED8"/>
    <w:rsid w:val="0065051C"/>
    <w:rsid w:val="006541F0"/>
    <w:rsid w:val="00654893"/>
    <w:rsid w:val="00655A76"/>
    <w:rsid w:val="00661A59"/>
    <w:rsid w:val="00671BBB"/>
    <w:rsid w:val="00673591"/>
    <w:rsid w:val="006735A8"/>
    <w:rsid w:val="00675C3A"/>
    <w:rsid w:val="00675EF2"/>
    <w:rsid w:val="00682237"/>
    <w:rsid w:val="00683F29"/>
    <w:rsid w:val="006960D5"/>
    <w:rsid w:val="006A0EF8"/>
    <w:rsid w:val="006A45BA"/>
    <w:rsid w:val="006A4941"/>
    <w:rsid w:val="006A62E9"/>
    <w:rsid w:val="006B1B3C"/>
    <w:rsid w:val="006B4280"/>
    <w:rsid w:val="006B4B1C"/>
    <w:rsid w:val="006B7A4B"/>
    <w:rsid w:val="006C4991"/>
    <w:rsid w:val="006D4022"/>
    <w:rsid w:val="006E0F19"/>
    <w:rsid w:val="006E1FDA"/>
    <w:rsid w:val="006E5E87"/>
    <w:rsid w:val="006F25F0"/>
    <w:rsid w:val="006F5738"/>
    <w:rsid w:val="006F6501"/>
    <w:rsid w:val="00706934"/>
    <w:rsid w:val="007070B3"/>
    <w:rsid w:val="00707132"/>
    <w:rsid w:val="00707673"/>
    <w:rsid w:val="00710BA0"/>
    <w:rsid w:val="00713A37"/>
    <w:rsid w:val="0071450B"/>
    <w:rsid w:val="007162BE"/>
    <w:rsid w:val="00716547"/>
    <w:rsid w:val="007206CA"/>
    <w:rsid w:val="00722267"/>
    <w:rsid w:val="00743F0C"/>
    <w:rsid w:val="0075252A"/>
    <w:rsid w:val="007623B5"/>
    <w:rsid w:val="00762C66"/>
    <w:rsid w:val="00764B84"/>
    <w:rsid w:val="00765028"/>
    <w:rsid w:val="00765F8A"/>
    <w:rsid w:val="007676EE"/>
    <w:rsid w:val="00770DD9"/>
    <w:rsid w:val="007730D2"/>
    <w:rsid w:val="0077678E"/>
    <w:rsid w:val="0078034D"/>
    <w:rsid w:val="0078269A"/>
    <w:rsid w:val="0078398D"/>
    <w:rsid w:val="0078685C"/>
    <w:rsid w:val="00790BCC"/>
    <w:rsid w:val="0079411E"/>
    <w:rsid w:val="00795CEE"/>
    <w:rsid w:val="007974F5"/>
    <w:rsid w:val="007A267D"/>
    <w:rsid w:val="007A5AA5"/>
    <w:rsid w:val="007B0F49"/>
    <w:rsid w:val="007B1E1F"/>
    <w:rsid w:val="007B33AB"/>
    <w:rsid w:val="007C1FBF"/>
    <w:rsid w:val="007C277F"/>
    <w:rsid w:val="007C2ABE"/>
    <w:rsid w:val="007C5FA4"/>
    <w:rsid w:val="007C7E14"/>
    <w:rsid w:val="007D03D2"/>
    <w:rsid w:val="007D1AB2"/>
    <w:rsid w:val="007E155C"/>
    <w:rsid w:val="007E6729"/>
    <w:rsid w:val="007F197F"/>
    <w:rsid w:val="007F302C"/>
    <w:rsid w:val="007F516E"/>
    <w:rsid w:val="007F522E"/>
    <w:rsid w:val="007F52A4"/>
    <w:rsid w:val="007F67E3"/>
    <w:rsid w:val="007F7421"/>
    <w:rsid w:val="00801F7F"/>
    <w:rsid w:val="0080345E"/>
    <w:rsid w:val="0080664F"/>
    <w:rsid w:val="0081077E"/>
    <w:rsid w:val="008113B3"/>
    <w:rsid w:val="00823022"/>
    <w:rsid w:val="00824C16"/>
    <w:rsid w:val="00834A60"/>
    <w:rsid w:val="00847F4C"/>
    <w:rsid w:val="0085048B"/>
    <w:rsid w:val="00851BDA"/>
    <w:rsid w:val="00856912"/>
    <w:rsid w:val="008610EE"/>
    <w:rsid w:val="00863E89"/>
    <w:rsid w:val="00866952"/>
    <w:rsid w:val="00867912"/>
    <w:rsid w:val="008710D8"/>
    <w:rsid w:val="00872B3B"/>
    <w:rsid w:val="0087423C"/>
    <w:rsid w:val="0088222A"/>
    <w:rsid w:val="00884A55"/>
    <w:rsid w:val="00884EE5"/>
    <w:rsid w:val="00887656"/>
    <w:rsid w:val="008901F6"/>
    <w:rsid w:val="00896C03"/>
    <w:rsid w:val="008A39C7"/>
    <w:rsid w:val="008A495D"/>
    <w:rsid w:val="008A76FD"/>
    <w:rsid w:val="008A7AD1"/>
    <w:rsid w:val="008B1015"/>
    <w:rsid w:val="008B2A35"/>
    <w:rsid w:val="008B2D09"/>
    <w:rsid w:val="008B719F"/>
    <w:rsid w:val="008C0961"/>
    <w:rsid w:val="008C537F"/>
    <w:rsid w:val="008C668D"/>
    <w:rsid w:val="008D658B"/>
    <w:rsid w:val="008E15F0"/>
    <w:rsid w:val="008E1759"/>
    <w:rsid w:val="008E18D7"/>
    <w:rsid w:val="008F0244"/>
    <w:rsid w:val="008F0CC1"/>
    <w:rsid w:val="008F1D37"/>
    <w:rsid w:val="008F283C"/>
    <w:rsid w:val="008F374B"/>
    <w:rsid w:val="008F4A80"/>
    <w:rsid w:val="008F5EE8"/>
    <w:rsid w:val="009018DE"/>
    <w:rsid w:val="0090501D"/>
    <w:rsid w:val="0091107A"/>
    <w:rsid w:val="00914E65"/>
    <w:rsid w:val="00916358"/>
    <w:rsid w:val="00920C0A"/>
    <w:rsid w:val="00920C80"/>
    <w:rsid w:val="00924160"/>
    <w:rsid w:val="00924FEB"/>
    <w:rsid w:val="00930ACF"/>
    <w:rsid w:val="009437A2"/>
    <w:rsid w:val="00943C6D"/>
    <w:rsid w:val="00943E25"/>
    <w:rsid w:val="00943F7B"/>
    <w:rsid w:val="009443B8"/>
    <w:rsid w:val="00944A26"/>
    <w:rsid w:val="00944B28"/>
    <w:rsid w:val="00947BD4"/>
    <w:rsid w:val="0095177F"/>
    <w:rsid w:val="009524DB"/>
    <w:rsid w:val="009539E1"/>
    <w:rsid w:val="00954B00"/>
    <w:rsid w:val="00956BAC"/>
    <w:rsid w:val="00967838"/>
    <w:rsid w:val="009718DA"/>
    <w:rsid w:val="00971A92"/>
    <w:rsid w:val="00972E9D"/>
    <w:rsid w:val="0097305C"/>
    <w:rsid w:val="00982CD6"/>
    <w:rsid w:val="00985B73"/>
    <w:rsid w:val="009865C1"/>
    <w:rsid w:val="009870A7"/>
    <w:rsid w:val="00992266"/>
    <w:rsid w:val="00992F08"/>
    <w:rsid w:val="00994A54"/>
    <w:rsid w:val="009956C1"/>
    <w:rsid w:val="009974C2"/>
    <w:rsid w:val="009A1D32"/>
    <w:rsid w:val="009A3BC4"/>
    <w:rsid w:val="009A572E"/>
    <w:rsid w:val="009B1901"/>
    <w:rsid w:val="009B1936"/>
    <w:rsid w:val="009B2D79"/>
    <w:rsid w:val="009B69AE"/>
    <w:rsid w:val="009B78B9"/>
    <w:rsid w:val="009C2DCC"/>
    <w:rsid w:val="009C451A"/>
    <w:rsid w:val="009D6517"/>
    <w:rsid w:val="009D74DB"/>
    <w:rsid w:val="009E2E02"/>
    <w:rsid w:val="009E4BA1"/>
    <w:rsid w:val="009E6C21"/>
    <w:rsid w:val="009F094E"/>
    <w:rsid w:val="009F0A90"/>
    <w:rsid w:val="009F1F36"/>
    <w:rsid w:val="009F7959"/>
    <w:rsid w:val="00A01CFF"/>
    <w:rsid w:val="00A026B7"/>
    <w:rsid w:val="00A02D05"/>
    <w:rsid w:val="00A02EC7"/>
    <w:rsid w:val="00A035F9"/>
    <w:rsid w:val="00A051BB"/>
    <w:rsid w:val="00A06442"/>
    <w:rsid w:val="00A10539"/>
    <w:rsid w:val="00A14EE2"/>
    <w:rsid w:val="00A15763"/>
    <w:rsid w:val="00A15B17"/>
    <w:rsid w:val="00A206D4"/>
    <w:rsid w:val="00A226C6"/>
    <w:rsid w:val="00A27912"/>
    <w:rsid w:val="00A31642"/>
    <w:rsid w:val="00A338A3"/>
    <w:rsid w:val="00A340B3"/>
    <w:rsid w:val="00A36378"/>
    <w:rsid w:val="00A40015"/>
    <w:rsid w:val="00A4029C"/>
    <w:rsid w:val="00A40BC9"/>
    <w:rsid w:val="00A45488"/>
    <w:rsid w:val="00A47445"/>
    <w:rsid w:val="00A53682"/>
    <w:rsid w:val="00A57472"/>
    <w:rsid w:val="00A6656B"/>
    <w:rsid w:val="00A7059D"/>
    <w:rsid w:val="00A7079E"/>
    <w:rsid w:val="00A70E1E"/>
    <w:rsid w:val="00A73B32"/>
    <w:rsid w:val="00A9081F"/>
    <w:rsid w:val="00A9188C"/>
    <w:rsid w:val="00A9626D"/>
    <w:rsid w:val="00A97A52"/>
    <w:rsid w:val="00AA0D6A"/>
    <w:rsid w:val="00AA0F66"/>
    <w:rsid w:val="00AA319B"/>
    <w:rsid w:val="00AA3333"/>
    <w:rsid w:val="00AA3E2D"/>
    <w:rsid w:val="00AA7ACD"/>
    <w:rsid w:val="00AB2D97"/>
    <w:rsid w:val="00AB58BF"/>
    <w:rsid w:val="00AD1135"/>
    <w:rsid w:val="00AD2937"/>
    <w:rsid w:val="00AD77C4"/>
    <w:rsid w:val="00AE25BF"/>
    <w:rsid w:val="00AE35B8"/>
    <w:rsid w:val="00AE6F44"/>
    <w:rsid w:val="00B0200F"/>
    <w:rsid w:val="00B0317F"/>
    <w:rsid w:val="00B03C01"/>
    <w:rsid w:val="00B078D6"/>
    <w:rsid w:val="00B1248D"/>
    <w:rsid w:val="00B14709"/>
    <w:rsid w:val="00B1520D"/>
    <w:rsid w:val="00B16D3A"/>
    <w:rsid w:val="00B3015C"/>
    <w:rsid w:val="00B324C6"/>
    <w:rsid w:val="00B342F9"/>
    <w:rsid w:val="00B344D8"/>
    <w:rsid w:val="00B37431"/>
    <w:rsid w:val="00B41BA8"/>
    <w:rsid w:val="00B4581D"/>
    <w:rsid w:val="00B55964"/>
    <w:rsid w:val="00B562EB"/>
    <w:rsid w:val="00B62EE5"/>
    <w:rsid w:val="00B70D85"/>
    <w:rsid w:val="00B7176F"/>
    <w:rsid w:val="00B71C6E"/>
    <w:rsid w:val="00B73B4C"/>
    <w:rsid w:val="00B73F75"/>
    <w:rsid w:val="00B76D04"/>
    <w:rsid w:val="00B77A64"/>
    <w:rsid w:val="00B81C29"/>
    <w:rsid w:val="00B8230E"/>
    <w:rsid w:val="00B83215"/>
    <w:rsid w:val="00B850E1"/>
    <w:rsid w:val="00B856FC"/>
    <w:rsid w:val="00B94539"/>
    <w:rsid w:val="00B94BD6"/>
    <w:rsid w:val="00BA2AD3"/>
    <w:rsid w:val="00BA3A53"/>
    <w:rsid w:val="00BA4095"/>
    <w:rsid w:val="00BA5804"/>
    <w:rsid w:val="00BA5B43"/>
    <w:rsid w:val="00BA72DB"/>
    <w:rsid w:val="00BB2C3C"/>
    <w:rsid w:val="00BC0A48"/>
    <w:rsid w:val="00BC2443"/>
    <w:rsid w:val="00BC3814"/>
    <w:rsid w:val="00BC642A"/>
    <w:rsid w:val="00BD0829"/>
    <w:rsid w:val="00BD0DC7"/>
    <w:rsid w:val="00BD4BAA"/>
    <w:rsid w:val="00BD5A97"/>
    <w:rsid w:val="00BD64D9"/>
    <w:rsid w:val="00BD7AB4"/>
    <w:rsid w:val="00BE2B8F"/>
    <w:rsid w:val="00BE5E9B"/>
    <w:rsid w:val="00BE6BF0"/>
    <w:rsid w:val="00BE6FC5"/>
    <w:rsid w:val="00BF5547"/>
    <w:rsid w:val="00BF57C1"/>
    <w:rsid w:val="00BF57D7"/>
    <w:rsid w:val="00BF7C9D"/>
    <w:rsid w:val="00C01E8C"/>
    <w:rsid w:val="00C03E01"/>
    <w:rsid w:val="00C059D7"/>
    <w:rsid w:val="00C12AF2"/>
    <w:rsid w:val="00C206D6"/>
    <w:rsid w:val="00C21034"/>
    <w:rsid w:val="00C22477"/>
    <w:rsid w:val="00C22AFC"/>
    <w:rsid w:val="00C25E0E"/>
    <w:rsid w:val="00C261CE"/>
    <w:rsid w:val="00C3080D"/>
    <w:rsid w:val="00C31A59"/>
    <w:rsid w:val="00C35302"/>
    <w:rsid w:val="00C3799C"/>
    <w:rsid w:val="00C40251"/>
    <w:rsid w:val="00C43D1E"/>
    <w:rsid w:val="00C44336"/>
    <w:rsid w:val="00C502E6"/>
    <w:rsid w:val="00C50F7C"/>
    <w:rsid w:val="00C51704"/>
    <w:rsid w:val="00C5275D"/>
    <w:rsid w:val="00C54F17"/>
    <w:rsid w:val="00C5591F"/>
    <w:rsid w:val="00C57C50"/>
    <w:rsid w:val="00C60A30"/>
    <w:rsid w:val="00C63476"/>
    <w:rsid w:val="00C64AF4"/>
    <w:rsid w:val="00C70603"/>
    <w:rsid w:val="00C707A4"/>
    <w:rsid w:val="00C715CA"/>
    <w:rsid w:val="00C7495D"/>
    <w:rsid w:val="00C74E38"/>
    <w:rsid w:val="00C77CE9"/>
    <w:rsid w:val="00C84DB2"/>
    <w:rsid w:val="00C92105"/>
    <w:rsid w:val="00C93B28"/>
    <w:rsid w:val="00CA3A8B"/>
    <w:rsid w:val="00CB4236"/>
    <w:rsid w:val="00CB7118"/>
    <w:rsid w:val="00CC0A52"/>
    <w:rsid w:val="00CC3BC1"/>
    <w:rsid w:val="00CC72A4"/>
    <w:rsid w:val="00CC79AE"/>
    <w:rsid w:val="00CD001A"/>
    <w:rsid w:val="00CD0B56"/>
    <w:rsid w:val="00CD3094"/>
    <w:rsid w:val="00CD3153"/>
    <w:rsid w:val="00CD55DC"/>
    <w:rsid w:val="00CE1D97"/>
    <w:rsid w:val="00CE3033"/>
    <w:rsid w:val="00CF1E7F"/>
    <w:rsid w:val="00CF3B47"/>
    <w:rsid w:val="00D0452F"/>
    <w:rsid w:val="00D07343"/>
    <w:rsid w:val="00D1592F"/>
    <w:rsid w:val="00D2132D"/>
    <w:rsid w:val="00D31CC8"/>
    <w:rsid w:val="00D340F2"/>
    <w:rsid w:val="00D34BFC"/>
    <w:rsid w:val="00D350AC"/>
    <w:rsid w:val="00D43BD9"/>
    <w:rsid w:val="00D44356"/>
    <w:rsid w:val="00D5119B"/>
    <w:rsid w:val="00D55BD3"/>
    <w:rsid w:val="00D60AA9"/>
    <w:rsid w:val="00D714F9"/>
    <w:rsid w:val="00D71F40"/>
    <w:rsid w:val="00D72583"/>
    <w:rsid w:val="00D76041"/>
    <w:rsid w:val="00D77416"/>
    <w:rsid w:val="00D80FB3"/>
    <w:rsid w:val="00D80FC6"/>
    <w:rsid w:val="00D818CD"/>
    <w:rsid w:val="00D833F4"/>
    <w:rsid w:val="00D83C41"/>
    <w:rsid w:val="00D840F6"/>
    <w:rsid w:val="00D85876"/>
    <w:rsid w:val="00DA2B6E"/>
    <w:rsid w:val="00DA4A09"/>
    <w:rsid w:val="00DA74F3"/>
    <w:rsid w:val="00DB2758"/>
    <w:rsid w:val="00DB69DC"/>
    <w:rsid w:val="00DB69F3"/>
    <w:rsid w:val="00DC464E"/>
    <w:rsid w:val="00DC4907"/>
    <w:rsid w:val="00DC5827"/>
    <w:rsid w:val="00DC748C"/>
    <w:rsid w:val="00DD017C"/>
    <w:rsid w:val="00DD397A"/>
    <w:rsid w:val="00DD58B7"/>
    <w:rsid w:val="00DD6699"/>
    <w:rsid w:val="00DD6A70"/>
    <w:rsid w:val="00DD7E53"/>
    <w:rsid w:val="00DE3E91"/>
    <w:rsid w:val="00DF2C0D"/>
    <w:rsid w:val="00DF3683"/>
    <w:rsid w:val="00DF57FD"/>
    <w:rsid w:val="00DF5C67"/>
    <w:rsid w:val="00E007C5"/>
    <w:rsid w:val="00E00DBF"/>
    <w:rsid w:val="00E02A86"/>
    <w:rsid w:val="00E033E0"/>
    <w:rsid w:val="00E07D3C"/>
    <w:rsid w:val="00E1026B"/>
    <w:rsid w:val="00E13CB2"/>
    <w:rsid w:val="00E15B60"/>
    <w:rsid w:val="00E15DC1"/>
    <w:rsid w:val="00E20C37"/>
    <w:rsid w:val="00E20F5E"/>
    <w:rsid w:val="00E21F18"/>
    <w:rsid w:val="00E24CED"/>
    <w:rsid w:val="00E27102"/>
    <w:rsid w:val="00E378D3"/>
    <w:rsid w:val="00E425EC"/>
    <w:rsid w:val="00E5177D"/>
    <w:rsid w:val="00E51FC4"/>
    <w:rsid w:val="00E52C57"/>
    <w:rsid w:val="00E540CB"/>
    <w:rsid w:val="00E5596B"/>
    <w:rsid w:val="00E56328"/>
    <w:rsid w:val="00E57E7D"/>
    <w:rsid w:val="00E62EDA"/>
    <w:rsid w:val="00E64048"/>
    <w:rsid w:val="00E75838"/>
    <w:rsid w:val="00E76A2A"/>
    <w:rsid w:val="00E84CD8"/>
    <w:rsid w:val="00E87824"/>
    <w:rsid w:val="00E90B85"/>
    <w:rsid w:val="00E91679"/>
    <w:rsid w:val="00E92452"/>
    <w:rsid w:val="00E94B89"/>
    <w:rsid w:val="00E94CC1"/>
    <w:rsid w:val="00EA1D5B"/>
    <w:rsid w:val="00EA324C"/>
    <w:rsid w:val="00EA795A"/>
    <w:rsid w:val="00EB0231"/>
    <w:rsid w:val="00EB7A56"/>
    <w:rsid w:val="00EC3039"/>
    <w:rsid w:val="00ED0A68"/>
    <w:rsid w:val="00ED0B00"/>
    <w:rsid w:val="00ED3156"/>
    <w:rsid w:val="00ED4185"/>
    <w:rsid w:val="00ED7A5B"/>
    <w:rsid w:val="00EE2ADC"/>
    <w:rsid w:val="00EF0CC5"/>
    <w:rsid w:val="00F02FE9"/>
    <w:rsid w:val="00F0643B"/>
    <w:rsid w:val="00F14336"/>
    <w:rsid w:val="00F14B43"/>
    <w:rsid w:val="00F203C7"/>
    <w:rsid w:val="00F215E2"/>
    <w:rsid w:val="00F225B4"/>
    <w:rsid w:val="00F22F91"/>
    <w:rsid w:val="00F24B02"/>
    <w:rsid w:val="00F32FE2"/>
    <w:rsid w:val="00F33367"/>
    <w:rsid w:val="00F4004C"/>
    <w:rsid w:val="00F41A27"/>
    <w:rsid w:val="00F4338D"/>
    <w:rsid w:val="00F43660"/>
    <w:rsid w:val="00F440C0"/>
    <w:rsid w:val="00F440D3"/>
    <w:rsid w:val="00F44DB1"/>
    <w:rsid w:val="00F461A8"/>
    <w:rsid w:val="00F46437"/>
    <w:rsid w:val="00F46EAF"/>
    <w:rsid w:val="00F507B3"/>
    <w:rsid w:val="00F56155"/>
    <w:rsid w:val="00F605A7"/>
    <w:rsid w:val="00F61F61"/>
    <w:rsid w:val="00F62688"/>
    <w:rsid w:val="00F6310B"/>
    <w:rsid w:val="00F6466F"/>
    <w:rsid w:val="00F65230"/>
    <w:rsid w:val="00F71C2E"/>
    <w:rsid w:val="00F734C1"/>
    <w:rsid w:val="00F74F26"/>
    <w:rsid w:val="00F800EA"/>
    <w:rsid w:val="00F844FB"/>
    <w:rsid w:val="00F921F1"/>
    <w:rsid w:val="00F940F3"/>
    <w:rsid w:val="00F9464A"/>
    <w:rsid w:val="00F9691A"/>
    <w:rsid w:val="00FB127E"/>
    <w:rsid w:val="00FB6CD5"/>
    <w:rsid w:val="00FC0804"/>
    <w:rsid w:val="00FC32C1"/>
    <w:rsid w:val="00FC3B6D"/>
    <w:rsid w:val="00FC42A1"/>
    <w:rsid w:val="00FC6C0C"/>
    <w:rsid w:val="00FD2259"/>
    <w:rsid w:val="00FD3A4E"/>
    <w:rsid w:val="00FD5826"/>
    <w:rsid w:val="00FE2F06"/>
    <w:rsid w:val="00FE5AFB"/>
    <w:rsid w:val="00FF1656"/>
    <w:rsid w:val="00FF2355"/>
    <w:rsid w:val="00FF4D27"/>
    <w:rsid w:val="00FF7238"/>
    <w:rsid w:val="00FF75E7"/>
    <w:rsid w:val="02A07301"/>
    <w:rsid w:val="05855689"/>
    <w:rsid w:val="19BE12D9"/>
    <w:rsid w:val="2120142E"/>
    <w:rsid w:val="22032D81"/>
    <w:rsid w:val="23C0709C"/>
    <w:rsid w:val="25EE32EF"/>
    <w:rsid w:val="266B068B"/>
    <w:rsid w:val="27FD02FE"/>
    <w:rsid w:val="2AF17BFC"/>
    <w:rsid w:val="2F540830"/>
    <w:rsid w:val="2F74547D"/>
    <w:rsid w:val="327D2126"/>
    <w:rsid w:val="43AC4689"/>
    <w:rsid w:val="453B3867"/>
    <w:rsid w:val="52025140"/>
    <w:rsid w:val="61872D55"/>
    <w:rsid w:val="64085E9A"/>
    <w:rsid w:val="66BB432A"/>
    <w:rsid w:val="749E11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qFormat="1" w:unhideWhenUsed="0" w:uiPriority="0" w:name="endnote reference"/>
    <w:lsdException w:qFormat="1" w:unhideWhenUsed="0" w:uiPriority="0" w:name="endnote text"/>
    <w:lsdException w:unhideWhenUsed="0" w:uiPriority="0" w:semiHidden="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8">
    <w:name w:val="Default Paragraph Font"/>
    <w:semiHidden/>
    <w:unhideWhenUsed/>
    <w:qFormat/>
    <w:uiPriority w:val="1"/>
  </w:style>
  <w:style w:type="table" w:default="1" w:styleId="4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ind w:left="0" w:firstLine="0"/>
    </w:pPr>
  </w:style>
  <w:style w:type="paragraph" w:styleId="28">
    <w:name w:val="Document Map"/>
    <w:basedOn w:val="1"/>
    <w:link w:val="56"/>
    <w:qFormat/>
    <w:uiPriority w:val="0"/>
    <w:rPr>
      <w:rFonts w:ascii="宋体"/>
      <w:sz w:val="18"/>
      <w:szCs w:val="18"/>
    </w:rPr>
  </w:style>
  <w:style w:type="paragraph" w:styleId="29">
    <w:name w:val="annotation text"/>
    <w:basedOn w:val="1"/>
    <w:semiHidden/>
    <w:qFormat/>
    <w:uiPriority w:val="0"/>
  </w:style>
  <w:style w:type="paragraph" w:styleId="30">
    <w:name w:val="Body Text"/>
    <w:basedOn w:val="1"/>
    <w:qFormat/>
    <w:uiPriority w:val="0"/>
    <w:pPr>
      <w:widowControl w:val="0"/>
    </w:pPr>
    <w:rPr>
      <w:i/>
      <w:lang w:val="en-US"/>
    </w:r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ody Text Indent 2"/>
    <w:basedOn w:val="1"/>
    <w:qFormat/>
    <w:uiPriority w:val="0"/>
    <w:pPr>
      <w:ind w:left="284"/>
      <w:jc w:val="both"/>
    </w:pPr>
    <w:rPr>
      <w:rFonts w:ascii="Arial" w:hAnsi="Arial"/>
      <w:sz w:val="22"/>
    </w:rPr>
  </w:style>
  <w:style w:type="paragraph" w:styleId="34">
    <w:name w:val="endnote text"/>
    <w:basedOn w:val="1"/>
    <w:semiHidden/>
    <w:qFormat/>
    <w:uiPriority w:val="0"/>
  </w:style>
  <w:style w:type="paragraph" w:styleId="35">
    <w:name w:val="Balloon Text"/>
    <w:basedOn w:val="1"/>
    <w:semiHidden/>
    <w:qFormat/>
    <w:uiPriority w:val="0"/>
    <w:rPr>
      <w:rFonts w:ascii="Tahoma" w:hAnsi="Tahoma" w:cs="Tahoma"/>
      <w:sz w:val="16"/>
      <w:szCs w:val="16"/>
    </w:rPr>
  </w:style>
  <w:style w:type="paragraph" w:styleId="36">
    <w:name w:val="footer"/>
    <w:basedOn w:val="37"/>
    <w:qFormat/>
    <w:uiPriority w:val="0"/>
    <w:pPr>
      <w:jc w:val="center"/>
    </w:pPr>
    <w:rPr>
      <w:i/>
    </w:rPr>
  </w:style>
  <w:style w:type="paragraph" w:styleId="37">
    <w:name w:val="header"/>
    <w:link w:val="60"/>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8">
    <w:name w:val="footnote text"/>
    <w:basedOn w:val="1"/>
    <w:semiHidden/>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2"/>
    <w:qFormat/>
    <w:uiPriority w:val="0"/>
    <w:pPr>
      <w:ind w:left="1418"/>
    </w:pPr>
  </w:style>
  <w:style w:type="paragraph" w:styleId="41">
    <w:name w:val="toc 9"/>
    <w:basedOn w:val="32"/>
    <w:next w:val="1"/>
    <w:semiHidden/>
    <w:qFormat/>
    <w:uiPriority w:val="0"/>
    <w:pPr>
      <w:ind w:left="1418" w:hanging="1418"/>
    </w:pPr>
  </w:style>
  <w:style w:type="paragraph" w:styleId="42">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43">
    <w:name w:val="index 1"/>
    <w:basedOn w:val="1"/>
    <w:next w:val="1"/>
    <w:semiHidden/>
    <w:qFormat/>
    <w:uiPriority w:val="0"/>
    <w:pPr>
      <w:keepLines/>
      <w:spacing w:after="0"/>
    </w:pPr>
  </w:style>
  <w:style w:type="paragraph" w:styleId="44">
    <w:name w:val="index 2"/>
    <w:basedOn w:val="43"/>
    <w:next w:val="1"/>
    <w:semiHidden/>
    <w:qFormat/>
    <w:uiPriority w:val="0"/>
    <w:pPr>
      <w:ind w:left="284"/>
    </w:pPr>
  </w:style>
  <w:style w:type="paragraph" w:styleId="45">
    <w:name w:val="annotation subject"/>
    <w:basedOn w:val="29"/>
    <w:next w:val="29"/>
    <w:semiHidden/>
    <w:qFormat/>
    <w:uiPriority w:val="0"/>
    <w:rPr>
      <w:b/>
      <w:bCs/>
    </w:rPr>
  </w:style>
  <w:style w:type="table" w:styleId="47">
    <w:name w:val="Table Grid"/>
    <w:basedOn w:val="46"/>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9">
    <w:name w:val="Strong"/>
    <w:basedOn w:val="48"/>
    <w:qFormat/>
    <w:uiPriority w:val="0"/>
    <w:rPr>
      <w:b/>
    </w:rPr>
  </w:style>
  <w:style w:type="character" w:styleId="50">
    <w:name w:val="endnote reference"/>
    <w:semiHidden/>
    <w:qFormat/>
    <w:uiPriority w:val="0"/>
    <w:rPr>
      <w:vertAlign w:val="superscript"/>
    </w:rPr>
  </w:style>
  <w:style w:type="character" w:styleId="51">
    <w:name w:val="FollowedHyperlink"/>
    <w:qFormat/>
    <w:uiPriority w:val="0"/>
    <w:rPr>
      <w:color w:val="800080"/>
      <w:u w:val="single"/>
    </w:rPr>
  </w:style>
  <w:style w:type="character" w:styleId="52">
    <w:name w:val="Hyperlink"/>
    <w:qFormat/>
    <w:uiPriority w:val="0"/>
    <w:rPr>
      <w:color w:val="0000FF"/>
      <w:u w:val="single"/>
    </w:rPr>
  </w:style>
  <w:style w:type="character" w:styleId="53">
    <w:name w:val="annotation reference"/>
    <w:semiHidden/>
    <w:qFormat/>
    <w:uiPriority w:val="0"/>
    <w:rPr>
      <w:sz w:val="16"/>
      <w:szCs w:val="16"/>
    </w:rPr>
  </w:style>
  <w:style w:type="character" w:styleId="54">
    <w:name w:val="footnote reference"/>
    <w:semiHidden/>
    <w:qFormat/>
    <w:uiPriority w:val="0"/>
    <w:rPr>
      <w:b/>
      <w:position w:val="6"/>
      <w:sz w:val="16"/>
    </w:rPr>
  </w:style>
  <w:style w:type="character" w:customStyle="1" w:styleId="55">
    <w:name w:val="ZGSM"/>
    <w:qFormat/>
    <w:uiPriority w:val="0"/>
  </w:style>
  <w:style w:type="character" w:customStyle="1" w:styleId="56">
    <w:name w:val="文档结构图 字符"/>
    <w:link w:val="28"/>
    <w:qFormat/>
    <w:uiPriority w:val="0"/>
    <w:rPr>
      <w:rFonts w:ascii="宋体"/>
      <w:sz w:val="18"/>
      <w:szCs w:val="18"/>
      <w:lang w:val="en-GB" w:eastAsia="en-US"/>
    </w:rPr>
  </w:style>
  <w:style w:type="character" w:customStyle="1" w:styleId="57">
    <w:name w:val="TAL Car"/>
    <w:link w:val="58"/>
    <w:qFormat/>
    <w:locked/>
    <w:uiPriority w:val="0"/>
    <w:rPr>
      <w:rFonts w:ascii="Arial" w:hAnsi="Arial"/>
      <w:sz w:val="18"/>
      <w:lang w:val="en-GB" w:eastAsia="en-US"/>
    </w:rPr>
  </w:style>
  <w:style w:type="paragraph" w:customStyle="1" w:styleId="58">
    <w:name w:val="TAL"/>
    <w:basedOn w:val="1"/>
    <w:link w:val="57"/>
    <w:qFormat/>
    <w:uiPriority w:val="0"/>
    <w:pPr>
      <w:keepNext/>
      <w:keepLines/>
      <w:spacing w:after="0"/>
    </w:pPr>
    <w:rPr>
      <w:rFonts w:ascii="Arial" w:hAnsi="Arial"/>
      <w:sz w:val="18"/>
    </w:rPr>
  </w:style>
  <w:style w:type="character" w:customStyle="1" w:styleId="59">
    <w:name w:val="fontstyle01"/>
    <w:qFormat/>
    <w:uiPriority w:val="0"/>
    <w:rPr>
      <w:rFonts w:hint="default" w:ascii="Tele-Grotesk-Norm" w:hAnsi="Tele-Grotesk-Norm"/>
      <w:color w:val="E20074"/>
      <w:sz w:val="36"/>
      <w:szCs w:val="36"/>
    </w:rPr>
  </w:style>
  <w:style w:type="character" w:customStyle="1" w:styleId="60">
    <w:name w:val="页眉 字符"/>
    <w:link w:val="37"/>
    <w:qFormat/>
    <w:uiPriority w:val="0"/>
    <w:rPr>
      <w:rFonts w:ascii="Arial" w:hAnsi="Arial"/>
      <w:b/>
      <w:sz w:val="18"/>
      <w:lang w:val="en-US" w:eastAsia="en-US" w:bidi="ar-SA"/>
    </w:rPr>
  </w:style>
  <w:style w:type="character" w:customStyle="1" w:styleId="61">
    <w:name w:val="Unresolved Mention1"/>
    <w:unhideWhenUsed/>
    <w:qFormat/>
    <w:uiPriority w:val="99"/>
    <w:rPr>
      <w:color w:val="605E5C"/>
      <w:shd w:val="clear" w:color="auto" w:fill="E1DFDD"/>
    </w:rPr>
  </w:style>
  <w:style w:type="paragraph" w:customStyle="1" w:styleId="62">
    <w:name w:val="TAC"/>
    <w:basedOn w:val="58"/>
    <w:qFormat/>
    <w:uiPriority w:val="0"/>
    <w:pPr>
      <w:jc w:val="center"/>
    </w:pPr>
  </w:style>
  <w:style w:type="paragraph" w:customStyle="1" w:styleId="6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4">
    <w:name w:val="HE"/>
    <w:basedOn w:val="1"/>
    <w:qFormat/>
    <w:uiPriority w:val="0"/>
    <w:rPr>
      <w:rFonts w:ascii="Arial" w:hAnsi="Arial"/>
      <w:b/>
    </w:rPr>
  </w:style>
  <w:style w:type="paragraph" w:customStyle="1" w:styleId="65">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66">
    <w:name w:val="FP"/>
    <w:basedOn w:val="1"/>
    <w:qFormat/>
    <w:uiPriority w:val="0"/>
    <w:pPr>
      <w:spacing w:after="0"/>
    </w:pPr>
  </w:style>
  <w:style w:type="paragraph" w:customStyle="1" w:styleId="67">
    <w:name w:val="NO"/>
    <w:basedOn w:val="1"/>
    <w:qFormat/>
    <w:uiPriority w:val="0"/>
    <w:pPr>
      <w:keepLines/>
      <w:ind w:left="1135" w:hanging="851"/>
    </w:pPr>
  </w:style>
  <w:style w:type="paragraph" w:customStyle="1" w:styleId="68">
    <w:name w:val="NW"/>
    <w:basedOn w:val="67"/>
    <w:qFormat/>
    <w:uiPriority w:val="0"/>
    <w:pPr>
      <w:spacing w:after="0"/>
    </w:pPr>
  </w:style>
  <w:style w:type="paragraph" w:customStyle="1" w:styleId="69">
    <w:name w:val="CR Cover Page"/>
    <w:qFormat/>
    <w:uiPriority w:val="0"/>
    <w:pPr>
      <w:spacing w:after="120"/>
    </w:pPr>
    <w:rPr>
      <w:rFonts w:ascii="Arial" w:hAnsi="Arial" w:eastAsia="宋体" w:cs="Times New Roman"/>
      <w:lang w:val="en-GB" w:eastAsia="en-US" w:bidi="ar-SA"/>
    </w:rPr>
  </w:style>
  <w:style w:type="paragraph" w:customStyle="1" w:styleId="7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71">
    <w:name w:val="EX"/>
    <w:basedOn w:val="1"/>
    <w:qFormat/>
    <w:uiPriority w:val="0"/>
    <w:pPr>
      <w:keepLines/>
      <w:ind w:left="1702" w:hanging="1418"/>
    </w:pPr>
  </w:style>
  <w:style w:type="paragraph" w:customStyle="1" w:styleId="72">
    <w:name w:val="TF"/>
    <w:basedOn w:val="73"/>
    <w:qFormat/>
    <w:uiPriority w:val="0"/>
    <w:pPr>
      <w:keepNext w:val="0"/>
      <w:spacing w:before="0" w:after="240"/>
    </w:pPr>
  </w:style>
  <w:style w:type="paragraph" w:customStyle="1" w:styleId="73">
    <w:name w:val="TH"/>
    <w:basedOn w:val="1"/>
    <w:qFormat/>
    <w:uiPriority w:val="0"/>
    <w:pPr>
      <w:keepNext/>
      <w:keepLines/>
      <w:spacing w:before="60"/>
      <w:jc w:val="center"/>
    </w:pPr>
    <w:rPr>
      <w:rFonts w:ascii="Arial" w:hAnsi="Arial"/>
      <w:b/>
    </w:rPr>
  </w:style>
  <w:style w:type="paragraph" w:customStyle="1" w:styleId="74">
    <w:name w:val="TT"/>
    <w:basedOn w:val="2"/>
    <w:next w:val="1"/>
    <w:qFormat/>
    <w:uiPriority w:val="0"/>
    <w:pPr>
      <w:outlineLvl w:val="9"/>
    </w:pPr>
  </w:style>
  <w:style w:type="paragraph" w:customStyle="1" w:styleId="75">
    <w:name w:val="Heading"/>
    <w:basedOn w:val="1"/>
    <w:qFormat/>
    <w:uiPriority w:val="0"/>
    <w:pPr>
      <w:widowControl w:val="0"/>
      <w:spacing w:after="120" w:line="240" w:lineRule="atLeast"/>
      <w:ind w:left="1260" w:hanging="551"/>
    </w:pPr>
    <w:rPr>
      <w:rFonts w:ascii="Arial" w:hAnsi="Arial"/>
      <w:b/>
      <w:sz w:val="22"/>
    </w:rPr>
  </w:style>
  <w:style w:type="paragraph" w:customStyle="1" w:styleId="76">
    <w:name w:val="TAH"/>
    <w:basedOn w:val="62"/>
    <w:qFormat/>
    <w:uiPriority w:val="0"/>
    <w:rPr>
      <w:b/>
    </w:rPr>
  </w:style>
  <w:style w:type="paragraph" w:customStyle="1" w:styleId="77">
    <w:name w:val="EW"/>
    <w:basedOn w:val="71"/>
    <w:qFormat/>
    <w:uiPriority w:val="0"/>
    <w:pPr>
      <w:spacing w:after="0"/>
    </w:pPr>
  </w:style>
  <w:style w:type="paragraph" w:customStyle="1" w:styleId="78">
    <w:name w:val="EQ"/>
    <w:basedOn w:val="1"/>
    <w:next w:val="1"/>
    <w:qFormat/>
    <w:uiPriority w:val="0"/>
    <w:pPr>
      <w:keepLines/>
      <w:tabs>
        <w:tab w:val="center" w:pos="4536"/>
        <w:tab w:val="right" w:pos="9072"/>
      </w:tabs>
    </w:pPr>
    <w:rPr>
      <w:lang w:val="en-US" w:eastAsia="zh-CN"/>
    </w:rPr>
  </w:style>
  <w:style w:type="paragraph" w:customStyle="1" w:styleId="79">
    <w:name w:val="NF"/>
    <w:basedOn w:val="67"/>
    <w:qFormat/>
    <w:uiPriority w:val="0"/>
    <w:pPr>
      <w:keepNext/>
      <w:spacing w:after="0"/>
    </w:pPr>
    <w:rPr>
      <w:rFonts w:ascii="Arial" w:hAnsi="Arial"/>
      <w:sz w:val="18"/>
    </w:rPr>
  </w:style>
  <w:style w:type="paragraph" w:customStyle="1" w:styleId="80">
    <w:name w:val="Editor's Note"/>
    <w:basedOn w:val="67"/>
    <w:qFormat/>
    <w:uiPriority w:val="0"/>
    <w:rPr>
      <w:color w:val="FF0000"/>
    </w:rPr>
  </w:style>
  <w:style w:type="paragraph" w:customStyle="1" w:styleId="8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82">
    <w:name w:val="TAR"/>
    <w:basedOn w:val="58"/>
    <w:qFormat/>
    <w:uiPriority w:val="0"/>
    <w:pPr>
      <w:jc w:val="right"/>
    </w:pPr>
  </w:style>
  <w:style w:type="paragraph" w:customStyle="1" w:styleId="83">
    <w:name w:val="TAN"/>
    <w:basedOn w:val="58"/>
    <w:qFormat/>
    <w:uiPriority w:val="0"/>
    <w:pPr>
      <w:ind w:left="851" w:hanging="851"/>
    </w:pPr>
  </w:style>
  <w:style w:type="paragraph" w:customStyle="1" w:styleId="84">
    <w:name w:val="B2"/>
    <w:basedOn w:val="13"/>
    <w:qFormat/>
    <w:uiPriority w:val="0"/>
  </w:style>
  <w:style w:type="paragraph" w:customStyle="1" w:styleId="8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9">
    <w:name w:val="ZV"/>
    <w:basedOn w:val="88"/>
    <w:qFormat/>
    <w:uiPriority w:val="0"/>
    <w:pPr>
      <w:framePr w:y="16161"/>
    </w:pPr>
  </w:style>
  <w:style w:type="paragraph" w:customStyle="1" w:styleId="9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91">
    <w:name w:val="B1"/>
    <w:basedOn w:val="14"/>
    <w:qFormat/>
    <w:uiPriority w:val="0"/>
  </w:style>
  <w:style w:type="paragraph" w:customStyle="1" w:styleId="92">
    <w:name w:val="B3"/>
    <w:basedOn w:val="12"/>
    <w:qFormat/>
    <w:uiPriority w:val="0"/>
  </w:style>
  <w:style w:type="paragraph" w:customStyle="1" w:styleId="93">
    <w:name w:val="B4"/>
    <w:basedOn w:val="40"/>
    <w:qFormat/>
    <w:uiPriority w:val="0"/>
  </w:style>
  <w:style w:type="paragraph" w:customStyle="1" w:styleId="94">
    <w:name w:val="B5"/>
    <w:basedOn w:val="39"/>
    <w:qFormat/>
    <w:uiPriority w:val="0"/>
  </w:style>
  <w:style w:type="paragraph" w:customStyle="1" w:styleId="95">
    <w:name w:val="ZTD"/>
    <w:basedOn w:val="86"/>
    <w:qFormat/>
    <w:uiPriority w:val="0"/>
    <w:pPr>
      <w:framePr w:hRule="auto" w:y="852"/>
    </w:pPr>
    <w:rPr>
      <w:i w:val="0"/>
      <w:sz w:val="40"/>
    </w:rPr>
  </w:style>
  <w:style w:type="paragraph" w:customStyle="1" w:styleId="96">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7">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styleId="98">
    <w:name w:val="List Paragraph"/>
    <w:basedOn w:val="1"/>
    <w:qFormat/>
    <w:uiPriority w:val="34"/>
    <w:pPr>
      <w:overflowPunct/>
      <w:autoSpaceDE/>
      <w:autoSpaceDN/>
      <w:adjustRightInd/>
      <w:spacing w:after="0"/>
      <w:ind w:firstLine="420" w:firstLineChars="200"/>
      <w:textAlignment w:val="auto"/>
    </w:pPr>
    <w:rPr>
      <w:rFonts w:ascii="宋体" w:hAnsi="宋体" w:cs="宋体"/>
      <w:sz w:val="24"/>
      <w:szCs w:val="24"/>
      <w:lang w:val="en-US" w:eastAsia="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Pages>4</Pages>
  <Words>1253</Words>
  <Characters>7143</Characters>
  <Lines>59</Lines>
  <Paragraphs>16</Paragraphs>
  <TotalTime>29</TotalTime>
  <ScaleCrop>false</ScaleCrop>
  <LinksUpToDate>false</LinksUpToDate>
  <CharactersWithSpaces>8380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2021-10-18T16:56:00Z</dcterms:created>
  <dc:creator>CMCC-Liang</dc:creator>
  <cp:keywords>WID template</cp:keywords>
  <cp:lastModifiedBy>RAN3 Chair</cp:lastModifiedBy>
  <cp:lastPrinted>2000-03-01T00:31:00Z</cp:lastPrinted>
  <dcterms:modified xsi:type="dcterms:W3CDTF">2021-11-01T11:00:16Z</dcterms:modified>
  <dc:title>WID Template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ontentTypeId">
    <vt:lpwstr>0x0101003AA7AC0C743A294CADF60F661720E3E6</vt:lpwstr>
  </property>
  <property fmtid="{D5CDD505-2E9C-101B-9397-08002B2CF9AE}" pid="5" name="KSOProductBuildVer">
    <vt:lpwstr>2052-11.8.2.9022</vt:lpwstr>
  </property>
</Properties>
</file>